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3</w:t>
      </w:r>
    </w:p>
    <w:p>
      <w:pPr>
        <w:pBdr>
          <w:bottom w:val="single" w:color="173456" w:sz="8" w:space="6"/>
        </w:pBdr>
        <w:spacing w:after="240"/>
      </w:pPr>
      <w:r>
        <w:rPr>
          <w:rFonts w:ascii="Calibri" w:cs="Calibri" w:eastAsia="Calibri" w:hAnsi="Calibri"/>
          <w:sz w:val="26"/>
          <w:szCs w:val="26"/>
        </w:rPr>
        <w:t xml:space="preserve">Lote 1: 8 resoluções</w:t>
      </w:r>
    </w:p>
    <w:p>
      <w:pPr>
        <w:pStyle w:val="Heading1"/>
        <w:keepNext/>
        <w:spacing w:before="280" w:after="120"/>
      </w:pPr>
      <w:r>
        <w:rPr>
          <w:rFonts w:ascii="Calibri" w:cs="Calibri" w:eastAsia="Calibri" w:hAnsi="Calibri"/>
          <w:b/>
          <w:bCs/>
          <w:color w:val="173456"/>
          <w:sz w:val="28"/>
          <w:szCs w:val="28"/>
        </w:rPr>
        <w:t xml:space="preserve">Orientações</w:t>
      </w:r>
    </w:p>
    <w:p>
      <w:pPr>
        <w:spacing w:after="100"/>
      </w:pPr>
      <w:r>
        <w:rPr>
          <w:rFonts w:ascii="Calibri" w:cs="Calibri" w:eastAsia="Calibri" w:hAnsi="Calibri"/>
          <w:sz w:val="22"/>
          <w:szCs w:val="22"/>
        </w:rPr>
        <w:t xml:space="preserve">Para cada documento: abra o PDF pelo link, compare os trechos de amostra e indique a situação da norma hoje. É a mesma lógica da Atividade nº 1, mais curta.</w:t>
      </w:r>
    </w:p>
    <w:p>
      <w:pPr>
        <w:pStyle w:val="ListParagraph"/>
        <w:numPr>
          <w:ilvl w:val="0"/>
          <w:numId w:val="2"/>
        </w:numPr>
      </w:pPr>
      <w:r>
        <w:rPr>
          <w:rFonts w:ascii="Calibri" w:cs="Calibri" w:eastAsia="Calibri" w:hAnsi="Calibri"/>
          <w:sz w:val="22"/>
          <w:szCs w:val="22"/>
        </w:rPr>
        <w:t xml:space="preserve">Marque ☒ ou X nas opções. Escreva nas caixas azuladas só o que precisar.</w:t>
      </w:r>
    </w:p>
    <w:p>
      <w:pPr>
        <w:pStyle w:val="ListParagraph"/>
        <w:numPr>
          <w:ilvl w:val="0"/>
          <w:numId w:val="2"/>
        </w:numPr>
      </w:pPr>
      <w:r>
        <w:rPr>
          <w:rFonts w:ascii="Calibri" w:cs="Calibri" w:eastAsia="Calibri" w:hAnsi="Calibri"/>
          <w:sz w:val="22"/>
          <w:szCs w:val="22"/>
        </w:rPr>
        <w:t xml:space="preserve">As “relações já conhecidas” são informações do portal ou conferidas antes; servem de apoio, não de resposta.</w:t>
      </w:r>
    </w:p>
    <w:p>
      <w:pPr>
        <w:pStyle w:val="ListParagraph"/>
        <w:numPr>
          <w:ilvl w:val="0"/>
          <w:numId w:val="2"/>
        </w:numPr>
      </w:pPr>
      <w:r>
        <w:rPr>
          <w:rFonts w:ascii="Calibri" w:cs="Calibri" w:eastAsia="Calibri" w:hAnsi="Calibri"/>
          <w:sz w:val="22"/>
          <w:szCs w:val="22"/>
        </w:rPr>
        <w:t xml:space="preserve">Os números de página são os do PDF.</w:t>
      </w:r>
    </w:p>
    <w:p>
      <w:pPr>
        <w:pStyle w:val="ListParagraph"/>
        <w:numPr>
          <w:ilvl w:val="0"/>
          <w:numId w:val="2"/>
        </w:numPr>
        <w:spacing w:after="160"/>
      </w:pPr>
      <w:r>
        <w:rPr>
          <w:rFonts w:ascii="Calibri" w:cs="Calibri" w:eastAsia="Calibri" w:hAnsi="Calibri"/>
          <w:sz w:val="22"/>
          <w:szCs w:val="22"/>
        </w:rPr>
        <w:t xml:space="preserve">Ao terminar, salve e me avise no chat. Pode fazer em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68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2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do PDF</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1.114/2025</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 1.098/2025</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533/2008</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557/2009</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512/2007</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954/2020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970/2021</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594/2011</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r>
    </w:tbl>
    <w:p>
      <w:pPr>
        <w:pStyle w:val="Heading1"/>
        <w:keepNext/>
        <w:pageBreakBefore/>
        <w:spacing w:before="280" w:after="120"/>
      </w:pPr>
      <w:r>
        <w:rPr>
          <w:rFonts w:ascii="Calibri" w:cs="Calibri" w:eastAsia="Calibri" w:hAnsi="Calibri"/>
          <w:b/>
          <w:bCs/>
          <w:color w:val="173456"/>
          <w:sz w:val="28"/>
          <w:szCs w:val="28"/>
        </w:rPr>
        <w:t xml:space="preserve">Documento 1 — Resolução nº 1.114/2025</w:t>
      </w:r>
    </w:p>
    <w:p>
      <w:pPr>
        <w:spacing w:after="100"/>
      </w:pPr>
      <w:r>
        <w:rPr>
          <w:rFonts w:ascii="Calibri" w:cs="Calibri" w:eastAsia="Calibri" w:hAnsi="Calibri"/>
          <w:i/>
          <w:iCs/>
          <w:color w:val="4F5D70"/>
          <w:sz w:val="22"/>
          <w:szCs w:val="22"/>
        </w:rPr>
        <w:t xml:space="preserve">Dispõe sobre as condições éticas e técnicas para o exercício profissional da(o) Assistente Social</w:t>
      </w:r>
    </w:p>
    <w:p>
      <w:pPr>
        <w:spacing w:after="100"/>
      </w:pPr>
      <w:r>
        <w:rPr>
          <w:rFonts w:ascii="Calibri" w:cs="Calibri" w:eastAsia="Calibri" w:hAnsi="Calibri"/>
          <w:sz w:val="22"/>
          <w:szCs w:val="22"/>
        </w:rPr>
        <w:t xml:space="preserve">PDF oficial: </w:t>
      </w:r>
      <w:hyperlink w:history="1" r:id="rId7mhfhyeugoclfpvfyiksu">
        <w:r>
          <w:rPr>
            <w:rFonts w:ascii="Calibri" w:cs="Calibri" w:eastAsia="Calibri" w:hAnsi="Calibri"/>
            <w:color w:val="1D5590"/>
            <w:sz w:val="22"/>
            <w:szCs w:val="22"/>
            <w:u w:val="single"/>
          </w:rPr>
          <w:t xml:space="preserve">1114-2025(INFO DOU).pdf</w:t>
        </w:r>
      </w:hyperlink>
      <w:r>
        <w:rPr>
          <w:rFonts w:ascii="Calibri" w:cs="Calibri" w:eastAsia="Calibri" w:hAnsi="Calibri"/>
          <w:sz w:val="22"/>
          <w:szCs w:val="22"/>
        </w:rPr>
        <w:t xml:space="preserve">   ·   </w:t>
      </w:r>
      <w:hyperlink w:history="1" r:id="rId3aad99qzaswbxpp0zes7l">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É condição essencial e obrigatória, para o exercício profissional de assistentes sociais, a existência de condições éticas e técnicas estabelecidas nesta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 A instalação de câmeras em salas ou espaço da realização da intervenção profissional viola o sigilo profissional, que é um direito e dever da(o) assistente social, conforme previsto no Código de Ética.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16</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16. Realizados os procedimentos da fiscalização pelo CRESS competente, conforme preconizado na Resolução CFESS nº 512/2007 (Política Nacional de Fiscalização) e verificado o descumprimento do disposto na presente Resolução, a Comissão de Orientação e Fiscalização do Conselho Regional, a vista das informações contidas no Termo de Fiscalização ou no documento encaminhado pela(o) própria(o) assistente social, notif…</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portal indica que ela revogou integralmente a Res. 493/2006.</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2 — Resolução n° 1.098/2025</w:t>
      </w:r>
    </w:p>
    <w:p>
      <w:pPr>
        <w:spacing w:after="100"/>
      </w:pPr>
      <w:r>
        <w:rPr>
          <w:rFonts w:ascii="Calibri" w:cs="Calibri" w:eastAsia="Calibri" w:hAnsi="Calibri"/>
          <w:i/>
          <w:iCs/>
          <w:color w:val="4F5D70"/>
          <w:sz w:val="22"/>
          <w:szCs w:val="22"/>
        </w:rPr>
        <w:t xml:space="preserve">Dispõe sobre os procedimentos para salvaguarda de documentos técnicos e de documentos técnicos sigilosos do Serviço Social.</w:t>
      </w:r>
    </w:p>
    <w:p>
      <w:pPr>
        <w:spacing w:after="100"/>
      </w:pPr>
      <w:r>
        <w:rPr>
          <w:rFonts w:ascii="Calibri" w:cs="Calibri" w:eastAsia="Calibri" w:hAnsi="Calibri"/>
          <w:sz w:val="22"/>
          <w:szCs w:val="22"/>
        </w:rPr>
        <w:t xml:space="preserve">PDF oficial: </w:t>
      </w:r>
      <w:hyperlink w:history="1" r:id="rIdnlumophpx5q09t8iukhos">
        <w:r>
          <w:rPr>
            <w:rFonts w:ascii="Calibri" w:cs="Calibri" w:eastAsia="Calibri" w:hAnsi="Calibri"/>
            <w:color w:val="1D5590"/>
            <w:sz w:val="22"/>
            <w:szCs w:val="22"/>
            <w:u w:val="single"/>
          </w:rPr>
          <w:t xml:space="preserve">1098-2025.pdf</w:t>
        </w:r>
      </w:hyperlink>
      <w:r>
        <w:rPr>
          <w:rFonts w:ascii="Calibri" w:cs="Calibri" w:eastAsia="Calibri" w:hAnsi="Calibri"/>
          <w:sz w:val="22"/>
          <w:szCs w:val="22"/>
        </w:rPr>
        <w:t xml:space="preserve">   ·   </w:t>
      </w:r>
      <w:hyperlink w:history="1" r:id="rIdloai_meiqysryq0xf9ixh">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As medidas para salvaguarda de documentos técnicos e de documentos técnicos sigilosos, no âmbito do Serviço Social, serão efetivadas por meio das normas e procedimentos estabelecidos pela presente Resolução, em conformidade com a legislação vigente.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9º, §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primeiro - Na impossibilidade de repasse direto, a documentação deverá ser lacrada pela(o) assistente social responsável pelo repasse, na presença de uma(um) conselheira(o) ou agente fiscal do CRESS, para somente vir a ser utilizada pela(o) assistente social substituta(o), quando será rompido o lacre, também na presença de uma (um) representante do CRESS.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15, §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primeiro - Em se tratando de documentação técnica sigilosa e não sigilosa digital, a(o) assistente social deverá comunicar a extinção do Serviço Social ao setor ou unidade de arquivo, procedendo à tramitação dos documentos para esse setor/unidade. Na ausência de setor ou unidade de arquivo, as rotinas de controle de acesso, salvaguarda e destinação dos documentos no sistema informatizado deverão ser garanti…</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O portal indica que ela revogou integralmente a Res. 556/2009.</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3 — Resolução nº 533/2008</w:t>
      </w:r>
    </w:p>
    <w:p>
      <w:pPr>
        <w:spacing w:after="100"/>
      </w:pPr>
      <w:r>
        <w:rPr>
          <w:rFonts w:ascii="Calibri" w:cs="Calibri" w:eastAsia="Calibri" w:hAnsi="Calibri"/>
          <w:i/>
          <w:iCs/>
          <w:color w:val="4F5D70"/>
          <w:sz w:val="22"/>
          <w:szCs w:val="22"/>
        </w:rPr>
        <w:t xml:space="preserve">REGULAMENTAÇÃO DA SUPERVISÃO DIRETA DE ESTÁGIO</w:t>
      </w:r>
    </w:p>
    <w:p>
      <w:pPr>
        <w:spacing w:after="100"/>
      </w:pPr>
      <w:r>
        <w:rPr>
          <w:rFonts w:ascii="Calibri" w:cs="Calibri" w:eastAsia="Calibri" w:hAnsi="Calibri"/>
          <w:sz w:val="22"/>
          <w:szCs w:val="22"/>
        </w:rPr>
        <w:t xml:space="preserve">PDF oficial: </w:t>
      </w:r>
      <w:hyperlink w:history="1" r:id="rId1kxskczobyinl3wvkrszx">
        <w:r>
          <w:rPr>
            <w:rFonts w:ascii="Calibri" w:cs="Calibri" w:eastAsia="Calibri" w:hAnsi="Calibri"/>
            <w:color w:val="1D5590"/>
            <w:sz w:val="22"/>
            <w:szCs w:val="22"/>
            <w:u w:val="single"/>
          </w:rPr>
          <w:t xml:space="preserve">Resolucao533.pdf</w:t>
        </w:r>
      </w:hyperlink>
      <w:r>
        <w:rPr>
          <w:rFonts w:ascii="Calibri" w:cs="Calibri" w:eastAsia="Calibri" w:hAnsi="Calibri"/>
          <w:sz w:val="22"/>
          <w:szCs w:val="22"/>
        </w:rPr>
        <w:t xml:space="preserve">   ·   </w:t>
      </w:r>
      <w:hyperlink w:history="1" r:id="rIduqypdxzcpqyeb4n88xku1">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As Unidades de Ensino, por meio dos coordenadores de curso, coordenadores de estágio e/ou outro profissional de serviço social responsável nas respectivas instituições pela abertura de campo de estágio, obrigatório e não obrigatório, em conformidade com a exigência determinada pelo artigo 14 da Lei 8662/1993, terão prazo de 30 (trinta) dias, a partir do início de cada semestre letivo, para encaminhar aos Con…</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 Ao supervisor de campo cabe a inserção, acompanhamento, orientação e avaliação do estudante no campo de estágio em conformidade com o plano de estágio.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8º, inciso VI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VI. Atestar/reconhecer as horas de estágio realizadas pelo estagiário, bem como emitir avaliação e nota.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4 — Resolução nº 557/2009</w:t>
      </w:r>
    </w:p>
    <w:p>
      <w:pPr>
        <w:spacing w:after="100"/>
      </w:pPr>
      <w:r>
        <w:rPr>
          <w:rFonts w:ascii="Calibri" w:cs="Calibri" w:eastAsia="Calibri" w:hAnsi="Calibri"/>
          <w:i/>
          <w:iCs/>
          <w:color w:val="4F5D70"/>
          <w:sz w:val="22"/>
          <w:szCs w:val="22"/>
        </w:rPr>
        <w:t xml:space="preserve">Dispõe sobre a emissão de pareceres, laudos, opiniões técnicas conjuntos entre o assistente social e outros profissionais</w:t>
      </w:r>
    </w:p>
    <w:p>
      <w:pPr>
        <w:spacing w:after="100"/>
      </w:pPr>
      <w:r>
        <w:rPr>
          <w:rFonts w:ascii="Calibri" w:cs="Calibri" w:eastAsia="Calibri" w:hAnsi="Calibri"/>
          <w:sz w:val="22"/>
          <w:szCs w:val="22"/>
        </w:rPr>
        <w:t xml:space="preserve">PDF oficial: </w:t>
      </w:r>
      <w:hyperlink w:history="1" r:id="rIdcxw2vd5wlsrpgaeuygjzy">
        <w:r>
          <w:rPr>
            <w:rFonts w:ascii="Calibri" w:cs="Calibri" w:eastAsia="Calibri" w:hAnsi="Calibri"/>
            <w:color w:val="1D5590"/>
            <w:sz w:val="22"/>
            <w:szCs w:val="22"/>
            <w:u w:val="single"/>
          </w:rPr>
          <w:t xml:space="preserve">Resolucao_CFESS_557-2009.pdf</w:t>
        </w:r>
      </w:hyperlink>
      <w:r>
        <w:rPr>
          <w:rFonts w:ascii="Calibri" w:cs="Calibri" w:eastAsia="Calibri" w:hAnsi="Calibri"/>
          <w:sz w:val="22"/>
          <w:szCs w:val="22"/>
        </w:rPr>
        <w:t xml:space="preserve">   ·   </w:t>
      </w:r>
      <w:hyperlink w:history="1" r:id="rId8ar1allhigc9iozwdwmbd">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 A elaboração, emissão e/ ou subscrição de opinião técnica sobre matéria de SERVIÇO SOCIAL por meio de pareceres, laudos, perícias e manifestações é atribuição privativa do assistente social, devidamente inscrito no Conselho Regional de Serviço Social de sua área de atuação, nos termos do parágrafo único do artigo 1º da Lei 8662/93 e pressupõem a devida e necessária competência técnica, teórico-metodológica,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 2º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segundo - O assistente social deverá emitir sua opinião técnica somente sobre o que é de sua área de atuação e de sua atribuição legal, para qual está habilitado e autorizado a exercer, assinando e identificando seu número de inscrição no Conselho Regional de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casos omissos serão resolvidos pelo Conselho Pleno do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5 — Resolução nº 512/2007</w:t>
      </w:r>
    </w:p>
    <w:p>
      <w:pPr>
        <w:spacing w:after="100"/>
      </w:pPr>
      <w:r>
        <w:rPr>
          <w:rFonts w:ascii="Calibri" w:cs="Calibri" w:eastAsia="Calibri" w:hAnsi="Calibri"/>
          <w:i/>
          <w:iCs/>
          <w:color w:val="4F5D70"/>
          <w:sz w:val="22"/>
          <w:szCs w:val="22"/>
        </w:rPr>
        <w:t xml:space="preserve">Reformulação das normas gerais para o exercício da Fiscalização Profissional e atualização da Política Nacional de Fiscalização</w:t>
      </w:r>
    </w:p>
    <w:p>
      <w:pPr>
        <w:spacing w:after="100"/>
      </w:pPr>
      <w:r>
        <w:rPr>
          <w:rFonts w:ascii="Calibri" w:cs="Calibri" w:eastAsia="Calibri" w:hAnsi="Calibri"/>
          <w:sz w:val="22"/>
          <w:szCs w:val="22"/>
        </w:rPr>
        <w:t xml:space="preserve">PDF oficial: </w:t>
      </w:r>
      <w:hyperlink w:history="1" r:id="rId0xkmxywlbrofczurfp1qh">
        <w:r>
          <w:rPr>
            <w:rFonts w:ascii="Calibri" w:cs="Calibri" w:eastAsia="Calibri" w:hAnsi="Calibri"/>
            <w:color w:val="1D5590"/>
            <w:sz w:val="22"/>
            <w:szCs w:val="22"/>
            <w:u w:val="single"/>
          </w:rPr>
          <w:t xml:space="preserve">Resolucaocfess5122007.pdf</w:t>
        </w:r>
      </w:hyperlink>
      <w:r>
        <w:rPr>
          <w:rFonts w:ascii="Calibri" w:cs="Calibri" w:eastAsia="Calibri" w:hAnsi="Calibri"/>
          <w:sz w:val="22"/>
          <w:szCs w:val="22"/>
        </w:rPr>
        <w:t xml:space="preserve">   ·   </w:t>
      </w:r>
      <w:hyperlink w:history="1" r:id="rIdxhf7i72mnjb_h0vpjcuhp">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 O serviço de orientação e fiscalização do exercício profissional do Assistente Social será desenvolvido seguindo as normas estabelecidas pela presente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13, inciso 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II- Propor e realizar atividades preventivas de orientação e discussão junto aos profissionais e instituições, em consonância com as diretrizes da PNF e plano de ação da COFI;</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19, inciso III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III- Instrumentalização dos conselheiros do CRESS e membros das Seccionais para atuarem como agentes multiplicadores dos preceitos éticos da profissão;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 Res. 828/2017 altera dispositivos desta resolução (ementa do portal). O PDF é uma versão com trechos riscados.</w:t>
      </w:r>
    </w:p>
    <w:p>
      <w:pPr>
        <w:pStyle w:val="ListParagraph"/>
        <w:numPr>
          <w:ilvl w:val="0"/>
          <w:numId w:val="3"/>
        </w:numPr>
      </w:pPr>
      <w:r>
        <w:rPr>
          <w:rFonts w:ascii="Calibri" w:cs="Calibri" w:eastAsia="Calibri" w:hAnsi="Calibri"/>
          <w:color w:val="4F5D70"/>
          <w:sz w:val="20"/>
          <w:szCs w:val="20"/>
        </w:rPr>
        <w:t xml:space="preserve">O próprio texto menciona: Resolução CFESS Nº.382/99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Descrever no relatório de visita de fiscalização todo fato constatado, relatando qualquerirregularidade que comprometa a qualidade dos serviços profissionais prestados, anotando nomeendereço e número de RG das pessoas envolvidas e testemunhas se houver;</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17Ficam instituídos os instrumentais básicos a serem utilizados no exercício da ação fiscalizadoraque constarão como anexo da Política Nacional de Fiscalização, a saber:I- Relatório de Visita de Fiscalizaçãoa ser utilizado pelo agente fiscal ou representante doCRESS/ Seccional, nas situações de…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6 — Resolução nº 954/2020</w:t>
      </w:r>
    </w:p>
    <w:p>
      <w:pPr>
        <w:spacing w:after="100"/>
      </w:pPr>
      <w:r>
        <w:rPr>
          <w:rFonts w:ascii="Calibri" w:cs="Calibri" w:eastAsia="Calibri" w:hAnsi="Calibri"/>
          <w:i/>
          <w:iCs/>
          <w:color w:val="4F5D70"/>
          <w:sz w:val="22"/>
          <w:szCs w:val="22"/>
        </w:rPr>
        <w:t xml:space="preserve">Extingue, no âmbito do Conjunto CFESS-CRESS, a infração disciplinar que consiste em deixar de pagar, regularmente, as anuidades e contribuições devidas ao CRESS, com a consequente extinção da penalidade de suspensão do exercício profissional por débito</w:t>
      </w:r>
    </w:p>
    <w:p>
      <w:pPr>
        <w:spacing w:after="100"/>
      </w:pPr>
      <w:r>
        <w:rPr>
          <w:rFonts w:ascii="Calibri" w:cs="Calibri" w:eastAsia="Calibri" w:hAnsi="Calibri"/>
          <w:sz w:val="22"/>
          <w:szCs w:val="22"/>
        </w:rPr>
        <w:t xml:space="preserve">PDF oficial: </w:t>
      </w:r>
      <w:hyperlink w:history="1" r:id="rIdyp9cttvzjhnduvuljeb17">
        <w:r>
          <w:rPr>
            <w:rFonts w:ascii="Calibri" w:cs="Calibri" w:eastAsia="Calibri" w:hAnsi="Calibri"/>
            <w:color w:val="1D5590"/>
            <w:sz w:val="22"/>
            <w:szCs w:val="22"/>
            <w:u w:val="single"/>
          </w:rPr>
          <w:t xml:space="preserve">ResolucaoCfess954-2020.pdf</w:t>
        </w:r>
      </w:hyperlink>
      <w:r>
        <w:rPr>
          <w:rFonts w:ascii="Calibri" w:cs="Calibri" w:eastAsia="Calibri" w:hAnsi="Calibri"/>
          <w:sz w:val="22"/>
          <w:szCs w:val="22"/>
        </w:rPr>
        <w:t xml:space="preserve">   ·   </w:t>
      </w:r>
      <w:hyperlink w:history="1" r:id="rId8xu06ceg4ofnuc4wcpa--">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Extinguir, no âmbito do Conjunto CFESS/CRESS, a infração disciplinar que consiste em deixar de pagar, regularmente, as anuidades e contribuições devidas ao CRESS (tipificada no 22, “ ”, da Resolução CFESS no 273/1993), com a consequente extinção da penalidade de suspensão do exercício profissional por débito.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I</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 - “ ” 22 ú 25 o 273/1993.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IV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IV - o inciso IV do artigo 5º da o 777/2016.</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 Res. 970/2021 anulou o Art. 1º desta resolução quanto à alínea c do Art. 22 do Código e deu nova redação aos Arts. 1º e 3º (conferido no texto oficial).</w:t>
      </w:r>
    </w:p>
    <w:p>
      <w:pPr>
        <w:pStyle w:val="ListParagraph"/>
        <w:numPr>
          <w:ilvl w:val="0"/>
          <w:numId w:val="3"/>
        </w:numPr>
      </w:pPr>
      <w:r>
        <w:rPr>
          <w:rFonts w:ascii="Calibri" w:cs="Calibri" w:eastAsia="Calibri" w:hAnsi="Calibri"/>
          <w:color w:val="4F5D70"/>
          <w:sz w:val="20"/>
          <w:szCs w:val="20"/>
        </w:rPr>
        <w:t xml:space="preserve">O portal publica também uma versão compilada desta resolução, mas a leitura automática dela saiu ilegível; por isso a conferência é feita no texto original.</w:t>
      </w:r>
    </w:p>
    <w:p>
      <w:pPr>
        <w:pStyle w:val="ListParagraph"/>
        <w:numPr>
          <w:ilvl w:val="0"/>
          <w:numId w:val="3"/>
        </w:numPr>
      </w:pPr>
      <w:r>
        <w:rPr>
          <w:rFonts w:ascii="Calibri" w:cs="Calibri" w:eastAsia="Calibri" w:hAnsi="Calibri"/>
          <w:color w:val="4F5D70"/>
          <w:sz w:val="20"/>
          <w:szCs w:val="20"/>
        </w:rPr>
        <w:t xml:space="preserve">O próprio texto menciona: Resolução CFESS no 354/1997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Texto que o sistema não conseguiu ler</w:t>
      </w:r>
    </w:p>
    <w:p>
      <w:pPr>
        <w:spacing w:after="100"/>
      </w:pPr>
      <w:r>
        <w:rPr>
          <w:rFonts w:ascii="Calibri" w:cs="Calibri" w:eastAsia="Calibri" w:hAnsi="Calibri"/>
          <w:sz w:val="22"/>
          <w:szCs w:val="22"/>
        </w:rPr>
        <w:t xml:space="preserve">O Art. 3º (p. 2 do PDF) perdeu partes do texto na leitura automática. Copie abaixo os incisos III e IV como estão no PDF (o inciso I você já transcreveu na Atividade nº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Transcrição:</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7 — Resolução 970/2021</w:t>
      </w:r>
    </w:p>
    <w:p>
      <w:pPr>
        <w:spacing w:after="100"/>
      </w:pPr>
      <w:r>
        <w:rPr>
          <w:rFonts w:ascii="Calibri" w:cs="Calibri" w:eastAsia="Calibri" w:hAnsi="Calibri"/>
          <w:i/>
          <w:iCs/>
          <w:color w:val="4F5D70"/>
          <w:sz w:val="22"/>
          <w:szCs w:val="22"/>
        </w:rPr>
        <w:t xml:space="preserve">Determina ANULAÇÃO do artigo 1º da RESOLUÇÃO CFESS nº 954 de 18 de agosto de 2020 e de outras disposições, restabelecendo a norma prevista pela alínea “c” do artigo 22 do Código de Ética do/a assistente social</w:t>
      </w:r>
    </w:p>
    <w:p>
      <w:pPr>
        <w:spacing w:after="100"/>
      </w:pPr>
      <w:r>
        <w:rPr>
          <w:rFonts w:ascii="Calibri" w:cs="Calibri" w:eastAsia="Calibri" w:hAnsi="Calibri"/>
          <w:sz w:val="22"/>
          <w:szCs w:val="22"/>
        </w:rPr>
        <w:t xml:space="preserve">PDF oficial: </w:t>
      </w:r>
      <w:hyperlink w:history="1" r:id="rIdj08omqyuvhst-9zf9o5qn">
        <w:r>
          <w:rPr>
            <w:rFonts w:ascii="Calibri" w:cs="Calibri" w:eastAsia="Calibri" w:hAnsi="Calibri"/>
            <w:color w:val="1D5590"/>
            <w:sz w:val="22"/>
            <w:szCs w:val="22"/>
            <w:u w:val="single"/>
          </w:rPr>
          <w:t xml:space="preserve">ResolucaoCfess9702021.pdf</w:t>
        </w:r>
      </w:hyperlink>
      <w:r>
        <w:rPr>
          <w:rFonts w:ascii="Calibri" w:cs="Calibri" w:eastAsia="Calibri" w:hAnsi="Calibri"/>
          <w:sz w:val="22"/>
          <w:szCs w:val="22"/>
        </w:rPr>
        <w:t xml:space="preserve">   ·   </w:t>
      </w:r>
      <w:hyperlink w:history="1" r:id="rIdyugokddkydgmtbqpdyyry">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Anular a revogação da alínea “c” do artigo 22 do Código de Ética do/a Assistente Social, operada pela Resolução CFESS nº 954/2020, publicada no Diário Oficial da União nº 159, de 19 de agosto de 2020, Seção 1, restabelecendo sua vigência, de forma a manter a caracterização da infração disciplinar descrita.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Ficam suspensos os trâmites dos processos que apurem a infração disciplinar prevista pela alínea “c” do artigo 22 do Código de Ética do/a Assistente Social e, consequentemente, a aplicação de qualquer penalidade, até que seja promovida a ampla e democrática discussão nacional, no fórum máximo de deliberação da categoria, “Encontro Nacional CFESS/CRESS”, ou na Plenária Nacional que vier substituí-lo, conforme …</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6º Esta resolução entra em vigor na data de sua publicação no Diário Oficial da União. Maria Elizabeth Santana Borges Presidente do CFESS (publicada no Diário Oficial da União nº 98, de 26 de maio de 2021, Seção 1, Páginas 258/259)</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Altera a Res. 954/2020 e restabelece a alínea c do Art. 22 do Código de Ética (conferido no texto oficial).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8 — Resolução nº 594/2011</w:t>
      </w:r>
    </w:p>
    <w:p>
      <w:pPr>
        <w:spacing w:after="100"/>
      </w:pPr>
      <w:r>
        <w:rPr>
          <w:rFonts w:ascii="Calibri" w:cs="Calibri" w:eastAsia="Calibri" w:hAnsi="Calibri"/>
          <w:i/>
          <w:iCs/>
          <w:color w:val="4F5D70"/>
          <w:sz w:val="22"/>
          <w:szCs w:val="22"/>
        </w:rPr>
        <w:t xml:space="preserve">Altera o Código de Ética do/a Assistente Social, introduzindo aperfeiçoamentos formais, gramaticais e conceituais em seu texto e garantindo a linguagem de gênero</w:t>
      </w:r>
    </w:p>
    <w:p>
      <w:pPr>
        <w:spacing w:after="100"/>
      </w:pPr>
      <w:r>
        <w:rPr>
          <w:rFonts w:ascii="Calibri" w:cs="Calibri" w:eastAsia="Calibri" w:hAnsi="Calibri"/>
          <w:sz w:val="22"/>
          <w:szCs w:val="22"/>
        </w:rPr>
        <w:t xml:space="preserve">PDF oficial: </w:t>
      </w:r>
      <w:hyperlink w:history="1" r:id="rIde7pko_c3yuw0yajoifq3u">
        <w:r>
          <w:rPr>
            <w:rFonts w:ascii="Calibri" w:cs="Calibri" w:eastAsia="Calibri" w:hAnsi="Calibri"/>
            <w:color w:val="1D5590"/>
            <w:sz w:val="22"/>
            <w:szCs w:val="22"/>
            <w:u w:val="single"/>
          </w:rPr>
          <w:t xml:space="preserve">Res594.pdf</w:t>
        </w:r>
      </w:hyperlink>
      <w:r>
        <w:rPr>
          <w:rFonts w:ascii="Calibri" w:cs="Calibri" w:eastAsia="Calibri" w:hAnsi="Calibri"/>
          <w:sz w:val="22"/>
          <w:szCs w:val="22"/>
        </w:rPr>
        <w:t xml:space="preserve">   ·   </w:t>
      </w:r>
      <w:hyperlink w:history="1" r:id="rIdcveyz7xipelrdu6khxjqy">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Numerar em ordem seqüencial, em algarismos romanos, os princípios contidos no Código de Ética do Assistente Social, instituído pela Resolução CFESS nº 273, de 13 de março de 1993, publicada no Diário Oficial da União nº 60, de 30 de março de 1993, Seção 1, páginas 4004 a 4007.</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Substituir a designação “opção sexual” por “orientação sexual” e no princípio XI substituir gênero por “identidade de gênero”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A presente Resolução entra em vigor na data da sua publicação e suas alterações deverão ser incorporadas ao texto da Resolução CFESS nº 273, de 13 de março de 1993, com a seguinte menção: “Resolução atualizada com as alterações introduzidas pelas Resoluções CFESS: nº 290, de 06 de fevereiro de 1994; nº 293, de 04 de maio de 1994; nº 333, de 14 de dezembro de 1996; nº 594, de 21 de janeiro de 2011.” Ivanete 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Altera o Código de Ética; as alterações já estão incorporadas na 10ª edição do Código (conferência nº 1).</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3 (lote 1) · página </w:t>
    </w:r>
    <w:r>
      <w:rPr>
        <w:rFonts w:ascii="Calibri" w:cs="Calibri" w:eastAsia="Calibri" w:hAnsi="Calibri"/>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mhfhyeugoclfpvfyiksu" Type="http://schemas.openxmlformats.org/officeDocument/2006/relationships/hyperlink" Target="https://www.cfess.org.br/uploads/legislacao/5343/1114-2025(INFO DOU).pdf" TargetMode="External"/><Relationship Id="rId3aad99qzaswbxpp0zes7l" Type="http://schemas.openxmlformats.org/officeDocument/2006/relationships/hyperlink" Target="https://www.cfess.org.br/legislacao/view/607/resolucao-n-11142025" TargetMode="External"/><Relationship Id="rIdnlumophpx5q09t8iukhos" Type="http://schemas.openxmlformats.org/officeDocument/2006/relationships/hyperlink" Target="https://www.cfess.org.br/uploads/legislacao/5138/1098-2025.pdf" TargetMode="External"/><Relationship Id="rIdloai_meiqysryq0xf9ixh" Type="http://schemas.openxmlformats.org/officeDocument/2006/relationships/hyperlink" Target="https://www.cfess.org.br/legislacao/view/583/resolucao-n-10982025" TargetMode="External"/><Relationship Id="rId1kxskczobyinl3wvkrszx" Type="http://schemas.openxmlformats.org/officeDocument/2006/relationships/hyperlink" Target="https://www.cfess.org.br/uploads/legislacao/4601/Resolucao533.pdf" TargetMode="External"/><Relationship Id="rIduqypdxzcpqyeb4n88xku1" Type="http://schemas.openxmlformats.org/officeDocument/2006/relationships/hyperlink" Target="https://www.cfess.org.br/legislacao/view/495/resolucao-n-5332008" TargetMode="External"/><Relationship Id="rIdcxw2vd5wlsrpgaeuygjzy" Type="http://schemas.openxmlformats.org/officeDocument/2006/relationships/hyperlink" Target="https://www.cfess.org.br/uploads/legislacao/4587/Resolucao_CFESS_557-2009.pdf" TargetMode="External"/><Relationship Id="rId8ar1allhigc9iozwdwmbd" Type="http://schemas.openxmlformats.org/officeDocument/2006/relationships/hyperlink" Target="https://www.cfess.org.br/legislacao/view/481/resolucao-n-5572009" TargetMode="External"/><Relationship Id="rId0xkmxywlbrofczurfp1qh" Type="http://schemas.openxmlformats.org/officeDocument/2006/relationships/hyperlink" Target="https://www.cfess.org.br/uploads/legislacao/4614/Resolucaocfess5122007.pdf" TargetMode="External"/><Relationship Id="rIdxhf7i72mnjb_h0vpjcuhp" Type="http://schemas.openxmlformats.org/officeDocument/2006/relationships/hyperlink" Target="https://www.cfess.org.br/legislacao/view/508/resolucao-n-5122007" TargetMode="External"/><Relationship Id="rIdyp9cttvzjhnduvuljeb17" Type="http://schemas.openxmlformats.org/officeDocument/2006/relationships/hyperlink" Target="https://www.cfess.org.br/uploads/legislacao/4406/ResolucaoCfess954-2020.pdf" TargetMode="External"/><Relationship Id="rId8xu06ceg4ofnuc4wcpa--" Type="http://schemas.openxmlformats.org/officeDocument/2006/relationships/hyperlink" Target="https://www.cfess.org.br/legislacao/view/331/resolucao-n-9542020" TargetMode="External"/><Relationship Id="rIdj08omqyuvhst-9zf9o5qn" Type="http://schemas.openxmlformats.org/officeDocument/2006/relationships/hyperlink" Target="https://www.cfess.org.br/uploads/legislacao/4390/ResolucaoCfess9702021.pdf" TargetMode="External"/><Relationship Id="rIdyugokddkydgmtbqpdyyry" Type="http://schemas.openxmlformats.org/officeDocument/2006/relationships/hyperlink" Target="https://www.cfess.org.br/legislacao/view/321/resolucao-9702021" TargetMode="External"/><Relationship Id="rIde7pko_c3yuw0yajoifq3u" Type="http://schemas.openxmlformats.org/officeDocument/2006/relationships/hyperlink" Target="https://www.cfess.org.br/uploads/legislacao/4569/Res594.pdf" TargetMode="External"/><Relationship Id="rIdcveyz7xipelrdu6khxjqy" Type="http://schemas.openxmlformats.org/officeDocument/2006/relationships/hyperlink" Target="https://www.cfess.org.br/legislacao/view/466/resolucao-n-5942011"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3 — lote 1</dc:title>
  <dc:creator>Plataforma de Consulta Ético-Normativa — GPECSS</dc:creator>
  <cp:lastModifiedBy>Un-named</cp:lastModifiedBy>
  <cp:revision>1</cp:revision>
  <dcterms:created xsi:type="dcterms:W3CDTF">2026-10-27T03:40:46.799Z</dcterms:created>
  <dcterms:modified xsi:type="dcterms:W3CDTF">2026-10-27T03:40:46.800Z</dcterms:modified>
</cp:coreProperties>
</file>

<file path=docProps/custom.xml><?xml version="1.0" encoding="utf-8"?>
<Properties xmlns="http://schemas.openxmlformats.org/officeDocument/2006/custom-properties" xmlns:vt="http://schemas.openxmlformats.org/officeDocument/2006/docPropsVTypes"/>
</file>