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BENCHMARK</w:t>
      </w:r>
    </w:p>
    <w:p>
      <w:pPr>
        <w:pStyle w:val="Heading2"/>
        <w:rPr/>
      </w:pPr>
      <w:r>
        <w:rPr/>
        <w:t>CONTEXT</w:t>
      </w:r>
    </w:p>
    <w:p>
      <w:pPr>
        <w:pStyle w:val="Normal"/>
        <w:rPr/>
      </w:pPr>
      <w:r>
        <w:rPr/>
        <w:t>Energy efficiency in older homes is a significant global challenge. A large portion of residential buildings were constructed before modern energy standards, resulting in heat loss, high electricity consumption, and increased costs. Many international and local initiatives aim to tackle these inefficiencies through technological upgrades, awareness campaigns, and policy frameworks.</w:t>
      </w:r>
    </w:p>
    <w:p>
      <w:pPr>
        <w:pStyle w:val="Heading2"/>
        <w:rPr/>
      </w:pPr>
      <w:r>
        <w:rPr/>
        <w:t>CASE STUDIES</w:t>
      </w:r>
    </w:p>
    <w:p>
      <w:pPr>
        <w:pStyle w:val="Normal"/>
        <w:rPr/>
      </w:pPr>
      <w:r>
        <w:rPr/>
        <w:t>1. EU Renovation Wave Initiative (Europe):</w:t>
      </w:r>
    </w:p>
    <w:p>
      <w:pPr>
        <w:pStyle w:val="Normal"/>
        <w:rPr/>
      </w:pPr>
      <w:r>
        <w:rPr/>
        <w:t>A large-scale program promoting energy-efficient renovation of existing buildings. It provides financial support for insulation, smart heating, and renewable energy integration. However, adoption remains slow in low-income communities due to high upfront costs.</w:t>
      </w:r>
    </w:p>
    <w:p>
      <w:pPr>
        <w:pStyle w:val="Normal"/>
        <w:rPr/>
      </w:pPr>
      <w:r>
        <w:rPr/>
        <w:t>2. Energy Savers Program (United States):</w:t>
      </w:r>
    </w:p>
    <w:p>
      <w:pPr>
        <w:pStyle w:val="Normal"/>
        <w:rPr/>
      </w:pPr>
      <w:r>
        <w:rPr/>
        <w:t>A federal initiative offering resources and subsidies to homeowners for improving insulation, windows, and heating systems. The focus is on practical energy savings, but community engagement and long-term behavioral change are limited.</w:t>
      </w:r>
    </w:p>
    <w:p>
      <w:pPr>
        <w:pStyle w:val="Normal"/>
        <w:rPr/>
      </w:pPr>
      <w:r>
        <w:rPr/>
        <w:t>3. EcoCasa Program (Mexico):</w:t>
      </w:r>
    </w:p>
    <w:p>
      <w:pPr>
        <w:pStyle w:val="Normal"/>
        <w:rPr/>
      </w:pPr>
      <w:r>
        <w:rPr/>
        <w:t>An initiative offering green mortgage options and incentives for efficient home design. It successfully combines financial accessibility with sustainability education, serving as a model for integrating affordability and awareness.</w:t>
      </w:r>
    </w:p>
    <w:p>
      <w:pPr>
        <w:pStyle w:val="Normal"/>
        <w:rPr/>
      </w:pPr>
      <w:r>
        <w:rPr/>
        <w:t>4. UK Warm Homes Scheme (United Kingdom):</w:t>
      </w:r>
    </w:p>
    <w:p>
      <w:pPr>
        <w:pStyle w:val="Normal"/>
        <w:rPr/>
      </w:pPr>
      <w:r>
        <w:rPr/>
        <w:t>Provides grants for improving insulation and heating systems in low-income households. While effective in reducing energy costs, the scheme often lacks local community involvement and educational components that foster long-term change.</w:t>
      </w:r>
    </w:p>
    <w:p>
      <w:pPr>
        <w:pStyle w:val="Heading2"/>
        <w:rPr/>
      </w:pPr>
      <w:r>
        <w:rPr/>
        <w:t>INSIGHTS</w:t>
      </w:r>
    </w:p>
    <w:p>
      <w:pPr>
        <w:pStyle w:val="Normal"/>
        <w:rPr/>
      </w:pPr>
      <w:r>
        <w:rPr/>
        <w:t>Most existing initiatives focus on financial aid or technical upgrades. Few emphasize social awareness, collaboration, or behavioral change. To create lasting impact, solutions must connect technology with community empowerment — helping residents understand, value, and sustain efficient energy practices.</w:t>
      </w:r>
    </w:p>
    <w:p>
      <w:pPr>
        <w:pStyle w:val="Heading2"/>
        <w:rPr/>
      </w:pPr>
      <w:r>
        <w:rPr/>
      </w:r>
    </w:p>
    <w:p>
      <w:pPr>
        <w:pStyle w:val="Heading2"/>
        <w:rPr/>
      </w:pPr>
      <w:r>
        <w:rPr/>
        <w:t>BENCHMARK SUMMARY</w:t>
      </w:r>
    </w:p>
    <w:p>
      <w:pPr>
        <w:pStyle w:val="Normal"/>
        <w:widowControl/>
        <w:bidi w:val="0"/>
        <w:spacing w:lineRule="auto" w:line="276" w:before="0" w:after="200"/>
        <w:jc w:val="left"/>
        <w:rPr/>
      </w:pPr>
      <w:r>
        <w:rPr/>
        <w:t>- Technological innovation alone is not sufficient — engagement and education are key.</w:t>
        <w:br/>
        <w:t>- Accessibility and affordability determine the success of retrofitting programs.</w:t>
        <w:br/>
        <w:t>- Community-driven initiatives build ownership and ensure sustainability.</w:t>
        <w:br/>
        <w:t>- Effective solutions should merge economic, social, and environmental dimensions.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LibreOffice/25.2.7.2$Linux_X86_64 LibreOffice_project/520$Build-2</Application>
  <AppVersion>15.0000</AppVersion>
  <Pages>2</Pages>
  <Words>283</Words>
  <Characters>1914</Characters>
  <CharactersWithSpaces>2183</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2025-11-07T21:51:45Z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