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INTENTION STATEMENT</w:t>
      </w:r>
    </w:p>
    <w:p>
      <w:pPr>
        <w:pStyle w:val="Heading2"/>
      </w:pPr>
      <w:r>
        <w:t>PROBLEM</w:t>
      </w:r>
    </w:p>
    <w:p>
      <w:r>
        <w:t>Many older homes have poor energy efficiency, leading to higher energy consumption, increased costs, and negative environmental impacts.</w:t>
      </w:r>
    </w:p>
    <w:p>
      <w:pPr>
        <w:pStyle w:val="Heading2"/>
      </w:pPr>
      <w:r>
        <w:t>AUDIENCE</w:t>
      </w:r>
    </w:p>
    <w:p>
      <w:r>
        <w:t>Homeowners and residents of older buildings, low-income communities affected by high energy bills, and policymakers working in sustainability and housing.</w:t>
      </w:r>
    </w:p>
    <w:p>
      <w:pPr>
        <w:pStyle w:val="Heading2"/>
      </w:pPr>
      <w:r>
        <w:t>FAILURES</w:t>
      </w:r>
    </w:p>
    <w:p>
      <w:r>
        <w:t>Previous initiatives have mainly focused on regulatory measures or expensive technological solutions, without addressing mindset change, economic accessibility, or direct community engagement.</w:t>
      </w:r>
    </w:p>
    <w:p>
      <w:pPr>
        <w:pStyle w:val="Heading2"/>
      </w:pPr>
      <w:r>
        <w:t>NEW VALUE</w:t>
      </w:r>
    </w:p>
    <w:p>
      <w:r>
        <w:t>Energy should be understood as a common good and a basic right — not merely a resource to be consumed. Promoting responsible and efficient energy use empowers individuals and fosters social equity, aligning sustainability with improved quality of life.</w:t>
      </w:r>
    </w:p>
    <w:p>
      <w:pPr>
        <w:pStyle w:val="Heading2"/>
      </w:pPr>
      <w:r>
        <w:t>OPPORTUNITY</w:t>
      </w:r>
    </w:p>
    <w:p>
      <w:r>
        <w:t>Develop a campaign that builds collective awareness around the social value of affordable and clean energy, inspiring sustainable and collaborative behavior among citizens, institutions, and local communities.</w:t>
      </w:r>
    </w:p>
    <w:p>
      <w:pPr>
        <w:pStyle w:val="Heading2"/>
      </w:pPr>
      <w:r>
        <w:t>RISK</w:t>
      </w:r>
    </w:p>
    <w:p>
      <w:r>
        <w:t>The campaign may risk being too technical or abstract, failing to connect with the target audience; there may also be resistance to change due to a lack of tangible incentives or practical understanding of the benefits.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