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Abstract</w:t>
      </w:r>
    </w:p>
    <w:p w:rsidR="00000000" w:rsidDel="00000000" w:rsidP="00000000" w:rsidRDefault="00000000" w:rsidRPr="00000000" w14:paraId="00000002">
      <w:pPr>
        <w:spacing w:after="220" w:lineRule="auto"/>
        <w:rPr/>
      </w:pPr>
      <w:r w:rsidDel="00000000" w:rsidR="00000000" w:rsidRPr="00000000">
        <w:rPr>
          <w:rtl w:val="0"/>
        </w:rPr>
        <w:t xml:space="preserve">Chess engines report positional evaluations as a single opaque scalar, giving no indication of which pieces or structural features drive the assessment. Building on Spinnato (2025), which adapts SHAP (SHapley Additive explanations) to attribute an engine's evaluation to individual pieces via systematic ablation, this project reproduces the core piece-level attribution method and extends it along one concrete axis (Section 5). The result will be a small, documented codebase and a short write-up demonstrating the method in illustrative positions, including cases where it succeeds and cases where it breaks down.</w:t>
      </w:r>
    </w:p>
    <w:p w:rsidR="00000000" w:rsidDel="00000000" w:rsidP="00000000" w:rsidRDefault="00000000" w:rsidRPr="00000000" w14:paraId="00000003">
      <w:pPr>
        <w:rPr/>
      </w:pPr>
      <w:r w:rsidDel="00000000" w:rsidR="00000000" w:rsidRPr="00000000">
        <w:rPr>
          <w:rtl w:val="0"/>
        </w:rPr>
        <w:t xml:space="preserve">1. Background &amp; Motivation</w:t>
      </w:r>
    </w:p>
    <w:p w:rsidR="00000000" w:rsidDel="00000000" w:rsidP="00000000" w:rsidRDefault="00000000" w:rsidRPr="00000000" w14:paraId="00000004">
      <w:pPr>
        <w:spacing w:after="160" w:lineRule="auto"/>
        <w:rPr/>
      </w:pPr>
      <w:r w:rsidDel="00000000" w:rsidR="00000000" w:rsidRPr="00000000">
        <w:rPr>
          <w:rtl w:val="0"/>
        </w:rPr>
        <w:t xml:space="preserve">Contemporary engines (e.g. Stockfish) summarize a position into a centipawn score or, equivalently, a win probability. This is useful for decision-making but uninterpretable: it does not say which pieces matter, or why. Spinnato (2025) addresses this by treating each non-king piece as a "feature" in the SHAP sense. For a position x with non-king pieces x′, and evaluator f, the contribution of piece i is the Shapley value:</w:t>
      </w:r>
    </w:p>
    <w:p w:rsidR="00000000" w:rsidDel="00000000" w:rsidP="00000000" w:rsidRDefault="00000000" w:rsidRPr="00000000" w14:paraId="00000005">
      <w:pPr>
        <w:spacing w:after="80" w:before="80" w:lineRule="auto"/>
        <w:rPr>
          <w:i w:val="1"/>
          <w:iCs w:val="1"/>
        </w:rPr>
      </w:pPr>
      <w:r w:rsidDel="00000000" w:rsidR="00000000" w:rsidRPr="00000000">
        <w:rPr>
          <w:i w:val="1"/>
          <w:iCs w:val="1"/>
          <w:rtl w:val="0"/>
        </w:rPr>
        <w:t xml:space="preserve">φ</w:t>
      </w:r>
      <w:r w:rsidDel="00000000" w:rsidR="00000000" w:rsidRPr="00000000">
        <w:rPr>
          <w:i w:val="1"/>
          <w:iCs w:val="1"/>
          <w:vertAlign w:val="subscript"/>
          <w:rtl w:val="0"/>
        </w:rPr>
        <w:t xml:space="preserve">i</w:t>
      </w:r>
      <w:r w:rsidDel="00000000" w:rsidR="00000000" w:rsidRPr="00000000">
        <w:rPr>
          <w:i w:val="1"/>
          <w:iCs w:val="1"/>
          <w:rtl w:val="0"/>
        </w:rPr>
        <w:t xml:space="preserve">(f, x) = average, over all subsets S of the other pieces, of the change in f caused by adding piece i to S</w:t>
      </w:r>
    </w:p>
    <w:p w:rsidR="00000000" w:rsidDel="00000000" w:rsidP="00000000" w:rsidRDefault="00000000" w:rsidRPr="00000000" w14:paraId="00000006">
      <w:pPr>
        <w:spacing w:after="220" w:lineRule="auto"/>
        <w:rPr/>
      </w:pPr>
      <w:r w:rsidDel="00000000" w:rsidR="00000000" w:rsidRPr="00000000">
        <w:rPr>
          <w:rtl w:val="0"/>
        </w:rPr>
        <w:t xml:space="preserve">These per-piece values are additive: the engine's evaluation equals a baseline (the kings-only, perfectly drawn position) plus the sum of every piece's contribution. This gives an interpretable decomposition of the evaluation, grounded in a well-established attribution framework rather than ad hoc heuristics.</w:t>
      </w:r>
    </w:p>
    <w:p w:rsidR="00000000" w:rsidDel="00000000" w:rsidP="00000000" w:rsidRDefault="00000000" w:rsidRPr="00000000" w14:paraId="00000007">
      <w:pPr>
        <w:rPr/>
      </w:pPr>
      <w:r w:rsidDel="00000000" w:rsidR="00000000" w:rsidRPr="00000000">
        <w:rPr>
          <w:rtl w:val="0"/>
        </w:rPr>
        <w:t xml:space="preserve">2. Problem Statement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King contributions cannot be measured, since removing a king is never a legal position for the engine to evaluate.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Cost grows exponentially with piece count (2ⁿ subsets), making the exact method impractical beyond roughly 14 non-king pieces.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Many ablated positions are illegal or unreachable from the real game, so explanations are statistical, not strictly causal, and this nuance is easy to lose when the results are shown to non-experts.</w:t>
      </w:r>
    </w:p>
    <w:p w:rsidR="00000000" w:rsidDel="00000000" w:rsidP="00000000" w:rsidRDefault="00000000" w:rsidRPr="00000000" w14:paraId="0000000B">
      <w:pPr>
        <w:spacing w:after="220" w:lineRule="auto"/>
        <w:rPr/>
      </w:pPr>
      <w:r w:rsidDel="00000000" w:rsidR="00000000" w:rsidRPr="00000000">
        <w:rPr>
          <w:rtl w:val="0"/>
        </w:rPr>
        <w:t xml:space="preserve">This project will pick one of these gaps as its focus (see Section 5) rather than attempt all three.</w:t>
      </w:r>
    </w:p>
    <w:p w:rsidR="00000000" w:rsidDel="00000000" w:rsidP="00000000" w:rsidRDefault="00000000" w:rsidRPr="00000000" w14:paraId="0000000C">
      <w:pPr>
        <w:rPr/>
      </w:pPr>
      <w:r w:rsidDel="00000000" w:rsidR="00000000" w:rsidRPr="00000000">
        <w:rPr>
          <w:rtl w:val="0"/>
        </w:rPr>
        <w:t xml:space="preserve">3. Objectives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O1 — Reproduce the piece-ablation attribution method on a small, fixed set of test positions (e.g. an endgame, a middlegame tactic, a puzzle).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O2 — Implement one extension addressing a specific limitation from Section 2 (chosen in Week 1, once real requirements are confirmed).</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O3 — Evaluate the extension against the baseline method, documenting at least one case where it clearly helps and one where it does not.</w:t>
      </w:r>
    </w:p>
    <w:p w:rsidR="00000000" w:rsidDel="00000000" w:rsidP="00000000" w:rsidRDefault="00000000" w:rsidRPr="00000000" w14:paraId="00000010">
      <w:pPr>
        <w:spacing w:before="160" w:lineRule="auto"/>
        <w:rPr/>
      </w:pPr>
      <w:r w:rsidDel="00000000" w:rsidR="00000000" w:rsidRPr="00000000">
        <w:rPr>
          <w:rtl w:val="0"/>
        </w:rPr>
        <w:t xml:space="preserve">4. Scope</w:t>
      </w:r>
    </w:p>
    <w:p w:rsidR="00000000" w:rsidDel="00000000" w:rsidP="00000000" w:rsidRDefault="00000000" w:rsidRPr="00000000" w14:paraId="00000011">
      <w:pPr>
        <w:spacing w:after="100" w:lineRule="auto"/>
        <w:rPr/>
      </w:pPr>
      <w:r w:rsidDel="00000000" w:rsidR="00000000" w:rsidRPr="00000000">
        <w:rPr>
          <w:b w:val="1"/>
          <w:bCs w:val="1"/>
          <w:rtl w:val="0"/>
        </w:rPr>
        <w:t xml:space="preserve">In scope: </w:t>
      </w:r>
      <w:r w:rsidDel="00000000" w:rsidR="00000000" w:rsidRPr="00000000">
        <w:rPr>
          <w:rtl w:val="0"/>
        </w:rPr>
        <w:t xml:space="preserve">piece-level attribution on standard chess positions; one clearly defined extension; a handful of illustrative examples.</w:t>
      </w:r>
    </w:p>
    <w:p w:rsidR="00000000" w:rsidDel="00000000" w:rsidP="00000000" w:rsidRDefault="00000000" w:rsidRPr="00000000" w14:paraId="00000012">
      <w:pPr>
        <w:spacing w:after="220" w:lineRule="auto"/>
        <w:rPr/>
      </w:pPr>
      <w:r w:rsidDel="00000000" w:rsidR="00000000" w:rsidRPr="00000000">
        <w:rPr>
          <w:b w:val="1"/>
          <w:bCs w:val="1"/>
          <w:rtl w:val="0"/>
        </w:rPr>
        <w:t xml:space="preserve">Out of scope: </w:t>
      </w:r>
      <w:r w:rsidDel="00000000" w:rsidR="00000000" w:rsidRPr="00000000">
        <w:rPr>
          <w:rtl w:val="0"/>
        </w:rPr>
        <w:t xml:space="preserve">a full user study with human players; support for variant chess rules; production-grade performance optimization.</w:t>
      </w:r>
    </w:p>
    <w:p w:rsidR="00000000" w:rsidDel="00000000" w:rsidP="00000000" w:rsidRDefault="00000000" w:rsidRPr="00000000" w14:paraId="00000013">
      <w:pPr>
        <w:rPr/>
      </w:pPr>
      <w:r w:rsidDel="00000000" w:rsidR="00000000" w:rsidRPr="00000000">
        <w:rPr>
          <w:rtl w:val="0"/>
        </w:rPr>
        <w:t xml:space="preserve">5. Proposed Methodology</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Represent a position as a set of non-king pieces (type, color, square) plus metadata (side to move, castling rights).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Define an evaluation function f(x) — a real engine (Stockfish via UCI) or a simplified heuristic, depending on available tooling.</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Ablate pieces individually, or sample subsets, recording how f(x) changes; fall back to a neutral score (0.5) when a perturbed position is illegal.</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Aggregate results into additive per-piece contributions and visualize them (waterfall chart, annotated board, or natural-language commentary).</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Extension (choose one): (a) natural-language explanation via an LLM, (b) a faster sampling strategy for high piece counts, (c) comparing attributions across two engines, (d) a proposed fix for the king-evaluation gap.</w:t>
      </w:r>
    </w:p>
    <w:p w:rsidR="00000000" w:rsidDel="00000000" w:rsidP="00000000" w:rsidRDefault="00000000" w:rsidRPr="00000000" w14:paraId="00000019">
      <w:pPr>
        <w:spacing w:before="160" w:lineRule="auto"/>
        <w:rPr/>
      </w:pPr>
      <w:r w:rsidDel="00000000" w:rsidR="00000000" w:rsidRPr="00000000">
        <w:rPr>
          <w:rtl w:val="0"/>
        </w:rPr>
        <w:t xml:space="preserve">6. Deliverables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A small, runnable codebase implementing the baseline method and the chosen extension.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3–5 worked examples with visualized or narrated explanations.</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A short written report (2–4 pages) describing the method, the extension, and its limitations.</w:t>
      </w:r>
    </w:p>
    <w:p w:rsidR="00000000" w:rsidDel="00000000" w:rsidP="00000000" w:rsidRDefault="00000000" w:rsidRPr="00000000" w14:paraId="0000001D">
      <w:pPr>
        <w:spacing w:before="160" w:lineRule="auto"/>
        <w:rPr/>
      </w:pPr>
      <w:r w:rsidDel="00000000" w:rsidR="00000000" w:rsidRPr="00000000">
        <w:rPr>
          <w:rtl w:val="0"/>
        </w:rPr>
        <w:t xml:space="preserve">7. Timeline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369769955227"/>
        <w:gridCol w:w="3986.7593021460557"/>
        <w:gridCol w:w="4252.215531882044"/>
        <w:tblGridChange w:id="0">
          <w:tblGrid>
            <w:gridCol w:w="786.5369769955227"/>
            <w:gridCol w:w="3986.7593021460557"/>
            <w:gridCol w:w="4252.215531882044"/>
          </w:tblGrid>
        </w:tblGridChange>
      </w:tblGrid>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Week</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Milestone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Deliverable</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Confirm scope with instructor; set up environment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3">
            <w:pPr>
              <w:rPr/>
            </w:pPr>
            <w:r w:rsidDel="00000000" w:rsidR="00000000" w:rsidRPr="00000000">
              <w:rPr>
                <w:rtl w:val="0"/>
              </w:rPr>
              <w:t xml:space="preserve">Working dev environment; confirmed extension choice</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Reproduce baseline attribution on sample positions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Baseline results on 3+ positions</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Implement chosen extension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Working extension prototype</w:t>
            </w:r>
          </w:p>
        </w:tc>
      </w:tr>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Evaluate, document limitations, write up</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Final report and codebase</w:t>
            </w:r>
          </w:p>
        </w:tc>
      </w:tr>
    </w:tbl>
    <w:p w:rsidR="00000000" w:rsidDel="00000000" w:rsidP="00000000" w:rsidRDefault="00000000" w:rsidRPr="00000000" w14:paraId="0000002D">
      <w:pPr>
        <w:spacing w:before="220" w:lineRule="auto"/>
        <w:rPr/>
      </w:pPr>
      <w:r w:rsidDel="00000000" w:rsidR="00000000" w:rsidRPr="00000000">
        <w:rPr>
          <w:rtl w:val="0"/>
        </w:rPr>
        <w:t xml:space="preserve">8. Risks &amp; Mitigations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0.6080857539873"/>
        <w:gridCol w:w="5294.903725269636"/>
        <w:tblGridChange w:id="0">
          <w:tblGrid>
            <w:gridCol w:w="3730.6080857539873"/>
            <w:gridCol w:w="5294.903725269636"/>
          </w:tblGrid>
        </w:tblGridChange>
      </w:tblGrid>
      <w:tr>
        <w:trPr>
          <w:cantSplit w:val="0"/>
          <w:trHeight w:val="4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Risk</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F">
            <w:pPr>
              <w:rPr>
                <w:b w:val="1"/>
                <w:bCs w:val="1"/>
              </w:rPr>
            </w:pPr>
            <w:r w:rsidDel="00000000" w:rsidR="00000000" w:rsidRPr="00000000">
              <w:rPr>
                <w:b w:val="1"/>
                <w:bCs w:val="1"/>
                <w:rtl w:val="0"/>
              </w:rPr>
              <w:t xml:space="preserve">Mitigation</w:t>
            </w:r>
          </w:p>
        </w:tc>
      </w:tr>
      <w:tr>
        <w:trPr>
          <w:cantSplit w:val="0"/>
          <w:trHeight w:val="63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Engine calls (Stockfish) are too slow for many subsets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Use a simplified evaluation function first; add the real engine only if time allows</w:t>
            </w:r>
          </w:p>
        </w:tc>
      </w:tr>
      <w:tr>
        <w:trPr>
          <w:cantSplit w:val="0"/>
          <w:trHeight w:val="63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Chosen extension turns out to be out of scope for the timeline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3">
            <w:pPr>
              <w:rPr/>
            </w:pPr>
            <w:r w:rsidDel="00000000" w:rsidR="00000000" w:rsidRPr="00000000">
              <w:rPr>
                <w:rtl w:val="0"/>
              </w:rPr>
              <w:t xml:space="preserve">Keep the baseline reproduction fully working first, so there is always a fallback deliverable</w:t>
            </w:r>
          </w:p>
        </w:tc>
      </w:tr>
      <w:tr>
        <w:trPr>
          <w:cantSplit w:val="0"/>
          <w:trHeight w:val="63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4">
            <w:pPr>
              <w:rPr/>
            </w:pPr>
            <w:r w:rsidDel="00000000" w:rsidR="00000000" w:rsidRPr="00000000">
              <w:rPr>
                <w:rtl w:val="0"/>
              </w:rPr>
              <w:t xml:space="preserve">Actual assignment differs from this draft's assumptions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5">
            <w:pPr>
              <w:rPr/>
            </w:pPr>
            <w:r w:rsidDel="00000000" w:rsidR="00000000" w:rsidRPr="00000000">
              <w:rPr>
                <w:rtl w:val="0"/>
              </w:rPr>
              <w:t xml:space="preserve">Confirm scope with instructor in Week 1 before implementation begins</w:t>
            </w:r>
          </w:p>
        </w:tc>
      </w:tr>
    </w:tbl>
    <w:p w:rsidR="00000000" w:rsidDel="00000000" w:rsidP="00000000" w:rsidRDefault="00000000" w:rsidRPr="00000000" w14:paraId="00000036">
      <w:pPr>
        <w:spacing w:before="220" w:lineRule="auto"/>
        <w:rPr/>
      </w:pPr>
      <w:r w:rsidDel="00000000" w:rsidR="00000000" w:rsidRPr="00000000">
        <w:rPr>
          <w:rtl w:val="0"/>
        </w:rPr>
        <w:t xml:space="preserve">9. Success Criteria</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Baseline method runs end-to-end on at least three distinct position types (e.g. endgame, tactic, quiet middlegame).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Chosen extension is implemented and compared directly against the baseline on the same positions.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Report clearly states at least one limitation or failure case, not just successes.</w:t>
      </w:r>
    </w:p>
    <w:p w:rsidR="00000000" w:rsidDel="00000000" w:rsidP="00000000" w:rsidRDefault="00000000" w:rsidRPr="00000000" w14:paraId="0000003A">
      <w:pPr>
        <w:spacing w:before="220" w:lineRule="auto"/>
        <w:rPr/>
      </w:pPr>
      <w:r w:rsidDel="00000000" w:rsidR="00000000" w:rsidRPr="00000000">
        <w:rPr>
          <w:rtl w:val="0"/>
        </w:rPr>
        <w:t xml:space="preserve">References</w:t>
      </w:r>
    </w:p>
    <w:p w:rsidR="00000000" w:rsidDel="00000000" w:rsidP="00000000" w:rsidRDefault="00000000" w:rsidRPr="00000000" w14:paraId="0000003B">
      <w:pPr>
        <w:spacing w:after="60" w:lineRule="auto"/>
        <w:rPr/>
      </w:pPr>
      <w:r w:rsidDel="00000000" w:rsidR="00000000" w:rsidRPr="00000000">
        <w:rPr>
          <w:rtl w:val="0"/>
        </w:rPr>
        <w:t xml:space="preserve">Spinnato, F. (2025). Towards Piece-by-Piece Explanations for Chess Positions with SHAP. To appear in CEUR-WS Proceedings.</w:t>
      </w:r>
    </w:p>
    <w:p w:rsidR="00000000" w:rsidDel="00000000" w:rsidP="00000000" w:rsidRDefault="00000000" w:rsidRPr="00000000" w14:paraId="0000003C">
      <w:pPr>
        <w:spacing w:after="60" w:lineRule="auto"/>
        <w:rPr/>
      </w:pPr>
      <w:r w:rsidDel="00000000" w:rsidR="00000000" w:rsidRPr="00000000">
        <w:rPr>
          <w:rtl w:val="0"/>
        </w:rPr>
        <w:t xml:space="preserve">Lundberg, S. M., &amp; Lee, S.-I. (2017). A Unified Approach to Interpreting Model Predictions. NeurIPS 30.</w:t>
      </w:r>
    </w:p>
    <w:p w:rsidR="00000000" w:rsidDel="00000000" w:rsidP="00000000" w:rsidRDefault="00000000" w:rsidRPr="00000000" w14:paraId="0000003D">
      <w:pPr>
        <w:spacing w:after="60" w:lineRule="auto"/>
        <w:rPr/>
      </w:pPr>
      <w:r w:rsidDel="00000000" w:rsidR="00000000" w:rsidRPr="00000000">
        <w:rPr>
          <w:rtl w:val="0"/>
        </w:rPr>
        <w:t xml:space="preserve">Pálsson, A., &amp; Björnsson, Y. (2023). Unveiling Concepts Learned by a World-Class Chess-Playing Agent. IJCAI.</w:t>
      </w:r>
    </w:p>
    <w:p w:rsidR="00000000" w:rsidDel="00000000" w:rsidP="00000000" w:rsidRDefault="00000000" w:rsidRPr="00000000" w14:paraId="0000003E">
      <w:pPr>
        <w:rPr/>
      </w:pPr>
      <w:r w:rsidDel="00000000" w:rsidR="00000000" w:rsidRPr="00000000">
        <w:rPr>
          <w:rtl w:val="0"/>
        </w:rPr>
        <w:t xml:space="preserve">Puri, N., et al. (2019). Explain Your Move: Understanding Agent Actions Using Specific and Relevant Feature Attribution. arXiv:1912.12191.</w:t>
      </w:r>
    </w:p>
    <w:p w:rsidR="00000000" w:rsidDel="00000000" w:rsidP="00000000" w:rsidRDefault="00000000" w:rsidRPr="00000000" w14:paraId="0000003F">
      <w:pPr>
        <w:numPr>
          <w:ilvl w:val="0"/>
          <w:numId w:val="4"/>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