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22"/>
        </w:rPr>
        <w:t>LKG / HYPNOS GROUP</w:t>
      </w:r>
    </w:p>
    <w:p>
      <w:pPr>
        <w:jc w:val="center"/>
      </w:pPr>
      <w:r>
        <w:rPr>
          <w:b/>
          <w:color w:val="1F3864"/>
          <w:sz w:val="36"/>
        </w:rPr>
        <w:t>LKG Furniture Market Digest</w:t>
      </w:r>
    </w:p>
    <w:p>
      <w:pPr>
        <w:jc w:val="center"/>
      </w:pPr>
      <w:r>
        <w:rPr>
          <w:sz w:val="26"/>
        </w:rPr>
        <w:t>Week Ending 8 May 2026 — Board Edition</w:t>
      </w:r>
    </w:p>
    <w:p/>
    <w:p>
      <w:pPr>
        <w:jc w:val="center"/>
      </w:pPr>
      <w:r>
        <w:rPr>
          <w:b/>
          <w:sz w:val="20"/>
        </w:rPr>
        <w:t xml:space="preserve">Prepared for: </w:t>
      </w:r>
      <w:r>
        <w:rPr>
          <w:sz w:val="20"/>
        </w:rPr>
        <w:t>Board, LKG / Hypnos Group</w:t>
      </w:r>
    </w:p>
    <w:p>
      <w:pPr>
        <w:jc w:val="center"/>
      </w:pPr>
      <w:r>
        <w:rPr>
          <w:b/>
          <w:sz w:val="20"/>
        </w:rPr>
        <w:t xml:space="preserve">Scope: </w:t>
      </w:r>
      <w:r>
        <w:rPr>
          <w:sz w:val="20"/>
        </w:rPr>
        <w:t>Australian bedding, mattresses, sleep products, and bedroom furniture</w:t>
      </w:r>
    </w:p>
    <w:p>
      <w:pPr>
        <w:jc w:val="center"/>
      </w:pPr>
      <w:r>
        <w:rPr>
          <w:b/>
          <w:sz w:val="20"/>
        </w:rPr>
        <w:t xml:space="preserve">Prepared by: </w:t>
      </w:r>
      <w:r>
        <w:rPr>
          <w:sz w:val="20"/>
        </w:rPr>
        <w:t>LKG Furniture Market Researcher</w:t>
      </w:r>
    </w:p>
    <w:p>
      <w:pPr>
        <w:jc w:val="center"/>
      </w:pPr>
      <w:r>
        <w:rPr>
          <w:b/>
          <w:sz w:val="20"/>
        </w:rPr>
        <w:t xml:space="preserve">Date: </w:t>
      </w:r>
      <w:r>
        <w:rPr>
          <w:sz w:val="20"/>
        </w:rPr>
        <w:t>8 May 2026</w:t>
      </w:r>
    </w:p>
    <w:p>
      <w:pPr>
        <w:jc w:val="center"/>
      </w:pPr>
      <w:r>
        <w:rPr>
          <w:b/>
          <w:sz w:val="20"/>
        </w:rPr>
        <w:t xml:space="preserve">Classification: </w:t>
      </w:r>
      <w:r>
        <w:rPr>
          <w:sz w:val="20"/>
        </w:rPr>
        <w:t>CONFIDENTIAL — Board Use Only</w:t>
      </w:r>
    </w:p>
    <w:p/>
    <w:p>
      <w:r>
        <w:br w:type="page"/>
      </w:r>
    </w:p>
    <w:p>
      <w:pPr>
        <w:pStyle w:val="Heading1"/>
      </w:pPr>
      <w:r>
        <w:t>EXECUTIVE SUMMARY</w:t>
      </w:r>
    </w:p>
    <w:p>
      <w:r>
        <w:rPr>
          <w:b w:val="0"/>
          <w:i w:val="0"/>
        </w:rPr>
        <w:t>The Australian mattress and bedroom furniture market (IBISWorld 2026 size: AUD 4.4 billion [UNVERIFIED THIRD-PARTY ESTIMATE]; 5-year CAGR 1.0%) is in a slow-growth, high-promotion environment. Consumer confidence is stabilising after 2022-24 cost-of-living headwinds, but spending remains selective. Key strategic themes this week:</w:t>
      </w:r>
    </w:p>
    <w:p>
      <w:pPr>
        <w:pStyle w:val="ListBullet"/>
      </w:pPr>
      <w:r>
        <w:t>Online channel growth is structural and accelerating: Temple &amp; Webster (ASX:TPW) reported H1 FY26 revenue of AUD 376 million (+20% YoY) with 1.35 million active customers (record). TPW has set a FY28 revenue target of AUD 1 billion.</w:t>
      </w:r>
    </w:p>
    <w:p>
      <w:pPr>
        <w:pStyle w:val="ListBullet"/>
      </w:pPr>
      <w:r>
        <w:t>Premium physical furniture can deliver superior margins: Nick Scali (ASX:NCK) ANZ gross margin reached 65.9% in H1 FY26 (+150 bps), with NPAT up 29% YoY. Brand discipline and made-to-order positioning are the margin drivers.</w:t>
      </w:r>
    </w:p>
    <w:p>
      <w:pPr>
        <w:pStyle w:val="ListBullet"/>
      </w:pPr>
      <w:r>
        <w:t>Mid-market physical furniture is under structural pressure: Focus on Furniture (Adairs) reported LFL of -3.3% in 1H FY26, with EBIT margin compressing from 13.7% to 9.2%. Directly relevant to G&amp;G Furniture.</w:t>
      </w:r>
    </w:p>
    <w:p>
      <w:pPr>
        <w:pStyle w:val="ListBullet"/>
      </w:pPr>
      <w:r>
        <w:t>Harvey Norman (ASX:HVN) share price declined 33.8% YTD to AUD 4.42 as at 6 May 2026 (P/E 9.9x), reflecting investor concern about earnings quality (property revaluations &gt;20% of profit) and consumer spending durability.</w:t>
      </w:r>
    </w:p>
    <w:p>
      <w:pPr>
        <w:pStyle w:val="ListBullet"/>
      </w:pPr>
      <w:r>
        <w:t>IKEA Australia tightened its returns policy (9 April 2026): assembled products now restricted to 60-day change-of-mind window (down from 365 days), creating a short-term competitive opportunity for Snooze and Future Sleep if they offer longer trial periods.</w:t>
      </w:r>
    </w:p>
    <w:p>
      <w:pPr>
        <w:pStyle w:val="ListBullet"/>
      </w:pPr>
      <w:r>
        <w:t>The ABS Retail Trade series has ceased publication permanently (final release July 2025). Industry benchmarking must now use the Monthly Household Spending Indicator (MHSI).</w:t>
      </w:r>
    </w:p>
    <w:p/>
    <w:p>
      <w:pPr>
        <w:pStyle w:val="Heading1"/>
      </w:pPr>
      <w:r>
        <w:t>INDUSTRY OVERVIEW</w:t>
      </w:r>
    </w:p>
    <w:p>
      <w:pPr>
        <w:pStyle w:val="Heading2"/>
      </w:pPr>
      <w:r>
        <w:t>Market Size and Structure</w:t>
      </w:r>
    </w:p>
    <w:p>
      <w:r>
        <w:rPr>
          <w:b w:val="0"/>
          <w:i/>
          <w:sz w:val="18"/>
        </w:rPr>
        <w:t>Source: IBISWorld, Mattress and Bedroom Furniture Retailing in Australia, 2026 | Confidence: Medium [UNVERIFIED THIRD-PARTY ESTIMATE]</w:t>
      </w:r>
    </w:p>
    <w:p>
      <w:pPr>
        <w:pStyle w:val="ListBullet"/>
      </w:pPr>
      <w:r>
        <w:rPr>
          <w:b/>
        </w:rPr>
        <w:t xml:space="preserve">Total industry revenue (2026): </w:t>
      </w:r>
      <w:r>
        <w:t>AUD 4.4 billion [UNVERIFIED THIRD-PARTY ESTIMATE — IBISWorld paywalled; not cross-verified against primary ABS data].</w:t>
      </w:r>
    </w:p>
    <w:p>
      <w:pPr>
        <w:pStyle w:val="ListBullet"/>
      </w:pPr>
      <w:r>
        <w:rPr>
          <w:b/>
        </w:rPr>
        <w:t xml:space="preserve">5-year revenue CAGR (2021-2026): </w:t>
      </w:r>
      <w:r>
        <w:t>1.0% annualised.</w:t>
      </w:r>
    </w:p>
    <w:p>
      <w:pPr>
        <w:pStyle w:val="ListBullet"/>
      </w:pPr>
      <w:r>
        <w:rPr>
          <w:b/>
        </w:rPr>
        <w:t xml:space="preserve">Business count: </w:t>
      </w:r>
      <w:r>
        <w:t>1,142 businesses (CAGR +0.4% 2021-2026).</w:t>
      </w:r>
    </w:p>
    <w:p>
      <w:pPr>
        <w:pStyle w:val="ListBullet"/>
      </w:pPr>
      <w:r>
        <w:rPr>
          <w:b/>
        </w:rPr>
        <w:t xml:space="preserve">Competition: </w:t>
      </w:r>
      <w:r>
        <w:t>characterised as 'high and increasing' (IBISWorld).</w:t>
      </w:r>
    </w:p>
    <w:p/>
    <w:p>
      <w:pPr>
        <w:pStyle w:val="Heading2"/>
      </w:pPr>
      <w:r>
        <w:t>Value Chain</w:t>
      </w:r>
    </w:p>
    <w:p>
      <w:r>
        <w:rPr>
          <w:b w:val="0"/>
          <w:i w:val="0"/>
        </w:rPr>
        <w:t>Mattress/bedding manufacturers (domestic and import) → wholesale distributors → specialty retailers (Snooze, Forty Winks, Bedshed, Sleeping Giant) → department/general furniture retailers (Harvey Norman, Nick Scali, Amart) → online pure-plays (Temple &amp; Webster, Mocka) → consumer. Hypnos Group operates across specialty retail (Snooze, Future Sleep) and mid-market furniture (G&amp;G Furniture).</w:t>
      </w:r>
    </w:p>
    <w:p/>
    <w:p>
      <w:pPr>
        <w:pStyle w:val="Heading2"/>
      </w:pPr>
      <w:r>
        <w:t>Key Demand Drivers</w:t>
      </w:r>
    </w:p>
    <w:p>
      <w:pPr>
        <w:pStyle w:val="ListBullet"/>
      </w:pPr>
      <w:r>
        <w:rPr>
          <w:b/>
        </w:rPr>
        <w:t xml:space="preserve">Housing turnover: </w:t>
      </w:r>
      <w:r>
        <w:t>RBA rate pause in 2025-26 stabilised property transactions but volumes remain below 2021 peak. Mattress replacement cycle 8-10 years; pandemic pull-forward demand is now a multi-year headwind.</w:t>
      </w:r>
    </w:p>
    <w:p>
      <w:pPr>
        <w:pStyle w:val="ListBullet"/>
      </w:pPr>
      <w:r>
        <w:rPr>
          <w:b/>
        </w:rPr>
        <w:t xml:space="preserve">Consumer confidence: </w:t>
      </w:r>
      <w:r>
        <w:t>selective recovery from cost-of-living squeeze; value-seeking behaviour remains pronounced.</w:t>
      </w:r>
    </w:p>
    <w:p>
      <w:pPr>
        <w:pStyle w:val="ListBullet"/>
      </w:pPr>
      <w:r>
        <w:rPr>
          <w:b/>
        </w:rPr>
        <w:t xml:space="preserve">Online channel penetration: </w:t>
      </w:r>
      <w:r>
        <w:t>structurally increasing; TPW's 20% revenue growth and record 1.35 million active customers demonstrate continued digital adoption.</w:t>
      </w:r>
    </w:p>
    <w:p>
      <w:pPr>
        <w:pStyle w:val="ListBullet"/>
      </w:pPr>
      <w:r>
        <w:rPr>
          <w:b/>
        </w:rPr>
        <w:t xml:space="preserve">Sleep health awareness: </w:t>
      </w:r>
      <w:r>
        <w:t>driving premiumisation in mattresses (hybrid, smart beds, health-positioned products).</w:t>
      </w:r>
    </w:p>
    <w:p/>
    <w:p>
      <w:pPr>
        <w:pStyle w:val="Heading2"/>
      </w:pPr>
      <w:r>
        <w:t>Why Now (May 2026)</w:t>
      </w:r>
    </w:p>
    <w:p>
      <w:pPr>
        <w:pStyle w:val="ListBullet"/>
      </w:pPr>
      <w:r>
        <w:t>Mother's Day (11 May 2026) and EOFY (June) are the peak promotional windows. Competitors are activating major events now.</w:t>
      </w:r>
    </w:p>
    <w:p>
      <w:pPr>
        <w:pStyle w:val="ListBullet"/>
      </w:pPr>
      <w:r>
        <w:t>IKEA's returns policy tightening creates a near-term conversion opportunity for Snooze and Future Sleep.</w:t>
      </w:r>
    </w:p>
    <w:p>
      <w:pPr>
        <w:pStyle w:val="ListBullet"/>
      </w:pPr>
      <w:r>
        <w:t>ABS Retail Trade discontinuation requires recalibration of internal benchmarking infrastructure.</w:t>
      </w:r>
    </w:p>
    <w:p/>
    <w:p>
      <w:pPr>
        <w:pStyle w:val="Heading1"/>
      </w:pPr>
      <w:r>
        <w:t>BOARD WATCH ITEMS</w:t>
      </w:r>
    </w:p>
    <w:p>
      <w:r>
        <w:rPr>
          <w:b w:val="0"/>
          <w:i/>
        </w:rPr>
        <w:t>The following items are flagged for Board-level awareness and strategic consideration.</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18"/>
              </w:rPr>
              <w:t>Ref</w:t>
            </w:r>
          </w:p>
        </w:tc>
        <w:tc>
          <w:tcPr>
            <w:tcW w:type="dxa" w:w="1881"/>
            <w:shd w:val="clear" w:color="auto" w:fill="1F3864"/>
          </w:tcPr>
          <w:p>
            <w:r>
              <w:rPr>
                <w:b/>
                <w:color w:val="FFFFFF"/>
                <w:sz w:val="18"/>
              </w:rPr>
              <w:t>Item</w:t>
            </w:r>
          </w:p>
        </w:tc>
        <w:tc>
          <w:tcPr>
            <w:tcW w:type="dxa" w:w="1881"/>
            <w:shd w:val="clear" w:color="auto" w:fill="1F3864"/>
          </w:tcPr>
          <w:p>
            <w:r>
              <w:rPr>
                <w:b/>
                <w:color w:val="FFFFFF"/>
                <w:sz w:val="18"/>
              </w:rPr>
              <w:t>Why This Matters</w:t>
            </w:r>
          </w:p>
        </w:tc>
        <w:tc>
          <w:tcPr>
            <w:tcW w:type="dxa" w:w="1881"/>
            <w:shd w:val="clear" w:color="auto" w:fill="1F3864"/>
          </w:tcPr>
          <w:p>
            <w:r>
              <w:rPr>
                <w:b/>
                <w:color w:val="FFFFFF"/>
                <w:sz w:val="18"/>
              </w:rPr>
              <w:t>Action Required</w:t>
            </w:r>
          </w:p>
        </w:tc>
        <w:tc>
          <w:tcPr>
            <w:tcW w:type="dxa" w:w="1881"/>
            <w:shd w:val="clear" w:color="auto" w:fill="1F3864"/>
          </w:tcPr>
          <w:p>
            <w:r>
              <w:rPr>
                <w:b/>
                <w:color w:val="FFFFFF"/>
                <w:sz w:val="18"/>
              </w:rPr>
              <w:t>Confidence / Source</w:t>
            </w:r>
          </w:p>
        </w:tc>
      </w:tr>
      <w:tr>
        <w:tc>
          <w:tcPr>
            <w:tcW w:type="dxa" w:w="1881"/>
          </w:tcPr>
          <w:p>
            <w:r>
              <w:rPr>
                <w:b/>
                <w:sz w:val="18"/>
              </w:rPr>
              <w:t>BD-1</w:t>
            </w:r>
          </w:p>
        </w:tc>
        <w:tc>
          <w:tcPr>
            <w:tcW w:type="dxa" w:w="1881"/>
          </w:tcPr>
          <w:p>
            <w:r>
              <w:rPr>
                <w:sz w:val="18"/>
              </w:rPr>
              <w:t>Temple &amp; Webster: 20% revenue growth, 1.35m active customers, AUD 1bn FY28 target</w:t>
            </w:r>
          </w:p>
        </w:tc>
        <w:tc>
          <w:tcPr>
            <w:tcW w:type="dxa" w:w="1881"/>
          </w:tcPr>
          <w:p>
            <w:r>
              <w:rPr>
                <w:sz w:val="18"/>
              </w:rPr>
              <w:t>Online pure-play is structurally taking share from physical specialty sleep and furniture retailers. TPW's Home Improvement and Trade segments are expanding into adjacent categories including sleep products.</w:t>
            </w:r>
          </w:p>
        </w:tc>
        <w:tc>
          <w:tcPr>
            <w:tcW w:type="dxa" w:w="1881"/>
          </w:tcPr>
          <w:p>
            <w:r>
              <w:rPr>
                <w:sz w:val="18"/>
              </w:rPr>
              <w:t>Board to consider LKG's online channel strategy: current investment in Snooze and Future Sleep digital, capability gaps vs. TPW, and whether the franchise model is fit-for-purpose to compete at TPW's scaling speed.</w:t>
            </w:r>
          </w:p>
        </w:tc>
        <w:tc>
          <w:tcPr>
            <w:tcW w:type="dxa" w:w="1881"/>
          </w:tcPr>
          <w:p>
            <w:r>
              <w:rPr>
                <w:sz w:val="18"/>
              </w:rPr>
              <w:t>High | Investing.com (TPW H1 FY26, Feb 2026)</w:t>
            </w:r>
          </w:p>
        </w:tc>
      </w:tr>
      <w:tr>
        <w:tc>
          <w:tcPr>
            <w:tcW w:type="dxa" w:w="1881"/>
          </w:tcPr>
          <w:p>
            <w:r>
              <w:rPr>
                <w:b/>
                <w:sz w:val="18"/>
              </w:rPr>
              <w:t>BD-2</w:t>
            </w:r>
          </w:p>
        </w:tc>
        <w:tc>
          <w:tcPr>
            <w:tcW w:type="dxa" w:w="1881"/>
          </w:tcPr>
          <w:p>
            <w:r>
              <w:rPr>
                <w:sz w:val="18"/>
              </w:rPr>
              <w:t>Nick Scali ANZ gross margin 65.9% — premium positioning benchmark</w:t>
            </w:r>
          </w:p>
        </w:tc>
        <w:tc>
          <w:tcPr>
            <w:tcW w:type="dxa" w:w="1881"/>
          </w:tcPr>
          <w:p>
            <w:r>
              <w:rPr>
                <w:sz w:val="18"/>
              </w:rPr>
              <w:t>NCK's made-to-order, premium-positioned model delivers gross margins &gt;65%, significantly above the specialty sleep and mid-market furniture peer group. Brand strength and category discipline sustain exceptional margins even in a challenged consumer environment.</w:t>
            </w:r>
          </w:p>
        </w:tc>
        <w:tc>
          <w:tcPr>
            <w:tcW w:type="dxa" w:w="1881"/>
          </w:tcPr>
          <w:p>
            <w:r>
              <w:rPr>
                <w:sz w:val="18"/>
              </w:rPr>
              <w:t>Board to consider whether Snooze's margin architecture and premium positioning strategy are adequately benchmarked against NCK. Is there a margin expansion roadmap for Snooze and Future Sleep?</w:t>
            </w:r>
          </w:p>
        </w:tc>
        <w:tc>
          <w:tcPr>
            <w:tcW w:type="dxa" w:w="1881"/>
          </w:tcPr>
          <w:p>
            <w:r>
              <w:rPr>
                <w:sz w:val="18"/>
              </w:rPr>
              <w:t>High | Investing.com (NCK H1 FY26, Feb 2026)</w:t>
            </w:r>
          </w:p>
        </w:tc>
      </w:tr>
      <w:tr>
        <w:tc>
          <w:tcPr>
            <w:tcW w:type="dxa" w:w="1881"/>
          </w:tcPr>
          <w:p>
            <w:r>
              <w:rPr>
                <w:b/>
                <w:sz w:val="18"/>
              </w:rPr>
              <w:t>BD-3</w:t>
            </w:r>
          </w:p>
        </w:tc>
        <w:tc>
          <w:tcPr>
            <w:tcW w:type="dxa" w:w="1881"/>
          </w:tcPr>
          <w:p>
            <w:r>
              <w:rPr>
                <w:sz w:val="18"/>
              </w:rPr>
              <w:t>Harvey Norman YTD share price -33.8%; P/E 9.9x</w:t>
            </w:r>
          </w:p>
        </w:tc>
        <w:tc>
          <w:tcPr>
            <w:tcW w:type="dxa" w:w="1881"/>
          </w:tcPr>
          <w:p>
            <w:r>
              <w:rPr>
                <w:sz w:val="18"/>
              </w:rPr>
              <w:t>HVN's share price de-rating suggests the market is concerned about earnings quality (property revaluations &gt;20% of profit) and consumer spending durability. As a major competitor and comparable operator, HVN's market signal warrants monitoring.</w:t>
            </w:r>
          </w:p>
        </w:tc>
        <w:tc>
          <w:tcPr>
            <w:tcW w:type="dxa" w:w="1881"/>
          </w:tcPr>
          <w:p>
            <w:r>
              <w:rPr>
                <w:sz w:val="18"/>
              </w:rPr>
              <w:t>Board to note implied sector risk from HVN's re-rating. Consider whether any competitive opportunity arises from a distressed or cautious major competitor.</w:t>
            </w:r>
          </w:p>
        </w:tc>
        <w:tc>
          <w:tcPr>
            <w:tcW w:type="dxa" w:w="1881"/>
          </w:tcPr>
          <w:p>
            <w:r>
              <w:rPr>
                <w:sz w:val="18"/>
              </w:rPr>
              <w:t>Medium | Motley Fool AU (6 May 2026); Simply Wall St</w:t>
            </w:r>
          </w:p>
        </w:tc>
      </w:tr>
      <w:tr>
        <w:tc>
          <w:tcPr>
            <w:tcW w:type="dxa" w:w="1881"/>
          </w:tcPr>
          <w:p>
            <w:r>
              <w:rPr>
                <w:b/>
                <w:sz w:val="18"/>
              </w:rPr>
              <w:t>BD-4</w:t>
            </w:r>
          </w:p>
        </w:tc>
        <w:tc>
          <w:tcPr>
            <w:tcW w:type="dxa" w:w="1881"/>
          </w:tcPr>
          <w:p>
            <w:r>
              <w:rPr>
                <w:sz w:val="18"/>
              </w:rPr>
              <w:t>Adairs H2 FY26: first Mocka standalone store (Bondi Junction, May 2026)</w:t>
            </w:r>
          </w:p>
        </w:tc>
        <w:tc>
          <w:tcPr>
            <w:tcW w:type="dxa" w:w="1881"/>
          </w:tcPr>
          <w:p>
            <w:r>
              <w:rPr>
                <w:sz w:val="18"/>
              </w:rPr>
              <w:t>Mocka's physical retail debut signals that the high-growth online-only furniture player (AU online +44.5%) is moving into physical retail — a channel convergence that could intensify competition at the store level.</w:t>
            </w:r>
          </w:p>
        </w:tc>
        <w:tc>
          <w:tcPr>
            <w:tcW w:type="dxa" w:w="1881"/>
          </w:tcPr>
          <w:p>
            <w:r>
              <w:rPr>
                <w:sz w:val="18"/>
              </w:rPr>
              <w:t>Monitor Mocka's physical launch performance as a leading indicator of channel convergence in Australian furniture retail.</w:t>
            </w:r>
          </w:p>
        </w:tc>
        <w:tc>
          <w:tcPr>
            <w:tcW w:type="dxa" w:w="1881"/>
          </w:tcPr>
          <w:p>
            <w:r>
              <w:rPr>
                <w:sz w:val="18"/>
              </w:rPr>
              <w:t>High | Adairs 1H FY26 investor slides</w:t>
            </w:r>
          </w:p>
        </w:tc>
      </w:tr>
      <w:tr>
        <w:tc>
          <w:tcPr>
            <w:tcW w:type="dxa" w:w="1881"/>
          </w:tcPr>
          <w:p>
            <w:r>
              <w:rPr>
                <w:b/>
                <w:sz w:val="18"/>
              </w:rPr>
              <w:t>BD-5</w:t>
            </w:r>
          </w:p>
        </w:tc>
        <w:tc>
          <w:tcPr>
            <w:tcW w:type="dxa" w:w="1881"/>
          </w:tcPr>
          <w:p>
            <w:r>
              <w:rPr>
                <w:sz w:val="18"/>
              </w:rPr>
              <w:t>ABS data landscape change: Retail Trade discontinued; MHSI replaces</w:t>
            </w:r>
          </w:p>
        </w:tc>
        <w:tc>
          <w:tcPr>
            <w:tcW w:type="dxa" w:w="1881"/>
          </w:tcPr>
          <w:p>
            <w:r>
              <w:rPr>
                <w:sz w:val="18"/>
              </w:rPr>
              <w:t>The sector's primary government demand indicator has changed permanently. MHSI covers 68% of household consumption (vs. 33% for Retail Trade) but uses different methodology. Industry benchmarking, covenant reporting, and investor communications need updating.</w:t>
            </w:r>
          </w:p>
        </w:tc>
        <w:tc>
          <w:tcPr>
            <w:tcW w:type="dxa" w:w="1881"/>
          </w:tcPr>
          <w:p>
            <w:r>
              <w:rPr>
                <w:sz w:val="18"/>
              </w:rPr>
              <w:t>Finance and strategy teams to confirm financial reporting and Board KPI dashboards have been or will be transitioned to MHSI.</w:t>
            </w:r>
          </w:p>
        </w:tc>
        <w:tc>
          <w:tcPr>
            <w:tcW w:type="dxa" w:w="1881"/>
          </w:tcPr>
          <w:p>
            <w:r>
              <w:rPr>
                <w:sz w:val="18"/>
              </w:rPr>
              <w:t>High | ABS (abs.gov.au)</w:t>
            </w:r>
          </w:p>
        </w:tc>
      </w:tr>
    </w:tbl>
    <w:p/>
    <w:p>
      <w:pPr>
        <w:pStyle w:val="Heading1"/>
      </w:pPr>
      <w:r>
        <w:t>PEER COMPARABLES AND OPERATING SIGNALS</w:t>
      </w:r>
    </w:p>
    <w:p>
      <w:r>
        <w:rPr>
          <w:b w:val="0"/>
          <w:i/>
          <w:sz w:val="18"/>
        </w:rPr>
        <w:t>Source: Company investor slides as reported by Investing.com (Feb 2026); Motley Fool AU; Simply Wall St (May 2026)</w:t>
      </w:r>
    </w:p>
    <w:p>
      <w:r>
        <w:rPr>
          <w:b w:val="0"/>
          <w:i/>
          <w:sz w:val="18"/>
        </w:rPr>
        <w:t>All figures are H1 FY26 (period to 31 December 2025) unless otherwise stated.</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r>
              <w:rPr>
                <w:b/>
                <w:color w:val="FFFFFF"/>
                <w:sz w:val="18"/>
              </w:rPr>
              <w:t>Company</w:t>
            </w:r>
          </w:p>
        </w:tc>
        <w:tc>
          <w:tcPr>
            <w:tcW w:type="dxa" w:w="1568"/>
            <w:shd w:val="clear" w:color="auto" w:fill="1F3864"/>
          </w:tcPr>
          <w:p>
            <w:r>
              <w:rPr>
                <w:b/>
                <w:color w:val="FFFFFF"/>
                <w:sz w:val="18"/>
              </w:rPr>
              <w:t>Revenue</w:t>
            </w:r>
          </w:p>
        </w:tc>
        <w:tc>
          <w:tcPr>
            <w:tcW w:type="dxa" w:w="1568"/>
            <w:shd w:val="clear" w:color="auto" w:fill="1F3864"/>
          </w:tcPr>
          <w:p>
            <w:r>
              <w:rPr>
                <w:b/>
                <w:color w:val="FFFFFF"/>
                <w:sz w:val="18"/>
              </w:rPr>
              <w:t>YoY Growth</w:t>
            </w:r>
          </w:p>
        </w:tc>
        <w:tc>
          <w:tcPr>
            <w:tcW w:type="dxa" w:w="1568"/>
            <w:shd w:val="clear" w:color="auto" w:fill="1F3864"/>
          </w:tcPr>
          <w:p>
            <w:r>
              <w:rPr>
                <w:b/>
                <w:color w:val="FFFFFF"/>
                <w:sz w:val="18"/>
              </w:rPr>
              <w:t>Gross / Delivered Margin</w:t>
            </w:r>
          </w:p>
        </w:tc>
        <w:tc>
          <w:tcPr>
            <w:tcW w:type="dxa" w:w="1568"/>
            <w:shd w:val="clear" w:color="auto" w:fill="1F3864"/>
          </w:tcPr>
          <w:p>
            <w:r>
              <w:rPr>
                <w:b/>
                <w:color w:val="FFFFFF"/>
                <w:sz w:val="18"/>
              </w:rPr>
              <w:t>EBIT / NPAT</w:t>
            </w:r>
          </w:p>
        </w:tc>
        <w:tc>
          <w:tcPr>
            <w:tcW w:type="dxa" w:w="1568"/>
            <w:shd w:val="clear" w:color="auto" w:fill="1F3864"/>
          </w:tcPr>
          <w:p>
            <w:r>
              <w:rPr>
                <w:b/>
                <w:color w:val="FFFFFF"/>
                <w:sz w:val="18"/>
              </w:rPr>
              <w:t>Key Operating Signal</w:t>
            </w:r>
          </w:p>
        </w:tc>
      </w:tr>
      <w:tr>
        <w:tc>
          <w:tcPr>
            <w:tcW w:type="dxa" w:w="1568"/>
          </w:tcPr>
          <w:p>
            <w:r>
              <w:rPr>
                <w:sz w:val="18"/>
              </w:rPr>
              <w:t>Temple &amp; Webster (TPW)</w:t>
            </w:r>
          </w:p>
        </w:tc>
        <w:tc>
          <w:tcPr>
            <w:tcW w:type="dxa" w:w="1568"/>
          </w:tcPr>
          <w:p>
            <w:r>
              <w:rPr>
                <w:sz w:val="18"/>
              </w:rPr>
              <w:t>AUD 376m (H1 FY26)</w:t>
            </w:r>
          </w:p>
        </w:tc>
        <w:tc>
          <w:tcPr>
            <w:tcW w:type="dxa" w:w="1568"/>
          </w:tcPr>
          <w:p>
            <w:r>
              <w:rPr>
                <w:sz w:val="18"/>
              </w:rPr>
              <w:t>+20%</w:t>
            </w:r>
          </w:p>
        </w:tc>
        <w:tc>
          <w:tcPr>
            <w:tcW w:type="dxa" w:w="1568"/>
          </w:tcPr>
          <w:p>
            <w:r>
              <w:rPr>
                <w:sz w:val="18"/>
              </w:rPr>
              <w:t>30.5% delivered margin</w:t>
            </w:r>
          </w:p>
        </w:tc>
        <w:tc>
          <w:tcPr>
            <w:tcW w:type="dxa" w:w="1568"/>
          </w:tcPr>
          <w:p>
            <w:r>
              <w:rPr>
                <w:sz w:val="18"/>
              </w:rPr>
              <w:t>EBITDA AUD 13.5m (4.0% margin)</w:t>
            </w:r>
          </w:p>
        </w:tc>
        <w:tc>
          <w:tcPr>
            <w:tcW w:type="dxa" w:w="1568"/>
          </w:tcPr>
          <w:p>
            <w:r>
              <w:rPr>
                <w:sz w:val="18"/>
              </w:rPr>
              <w:t>1.35m active customers (+14%); FY28 target AUD 1bn</w:t>
            </w:r>
          </w:p>
        </w:tc>
      </w:tr>
      <w:tr>
        <w:tc>
          <w:tcPr>
            <w:tcW w:type="dxa" w:w="1568"/>
          </w:tcPr>
          <w:p>
            <w:r>
              <w:rPr>
                <w:sz w:val="18"/>
              </w:rPr>
              <w:t>Nick Scali ANZ (NCK)</w:t>
            </w:r>
          </w:p>
        </w:tc>
        <w:tc>
          <w:tcPr>
            <w:tcW w:type="dxa" w:w="1568"/>
          </w:tcPr>
          <w:p>
            <w:r>
              <w:rPr>
                <w:sz w:val="18"/>
              </w:rPr>
              <w:t>AUD 251.7m (H1 FY26)</w:t>
            </w:r>
          </w:p>
        </w:tc>
        <w:tc>
          <w:tcPr>
            <w:tcW w:type="dxa" w:w="1568"/>
          </w:tcPr>
          <w:p>
            <w:r>
              <w:rPr>
                <w:sz w:val="18"/>
              </w:rPr>
              <w:t>+13.1%</w:t>
            </w:r>
          </w:p>
        </w:tc>
        <w:tc>
          <w:tcPr>
            <w:tcW w:type="dxa" w:w="1568"/>
          </w:tcPr>
          <w:p>
            <w:r>
              <w:rPr>
                <w:sz w:val="18"/>
              </w:rPr>
              <w:t>65.9% GP margin (+150 bps)</w:t>
            </w:r>
          </w:p>
        </w:tc>
        <w:tc>
          <w:tcPr>
            <w:tcW w:type="dxa" w:w="1568"/>
          </w:tcPr>
          <w:p>
            <w:r>
              <w:rPr>
                <w:sz w:val="18"/>
              </w:rPr>
              <w:t>NPAT AUD 46.6m (+29%)</w:t>
            </w:r>
          </w:p>
        </w:tc>
        <w:tc>
          <w:tcPr>
            <w:tcW w:type="dxa" w:w="1568"/>
          </w:tcPr>
          <w:p>
            <w:r>
              <w:rPr>
                <w:sz w:val="18"/>
              </w:rPr>
              <w:t>LFL revenue +12.7%; 5 new stores planned H2 FY26</w:t>
            </w:r>
          </w:p>
        </w:tc>
      </w:tr>
      <w:tr>
        <w:tc>
          <w:tcPr>
            <w:tcW w:type="dxa" w:w="1568"/>
          </w:tcPr>
          <w:p>
            <w:r>
              <w:rPr>
                <w:sz w:val="18"/>
              </w:rPr>
              <w:t>Adairs Group (ADH)</w:t>
            </w:r>
          </w:p>
        </w:tc>
        <w:tc>
          <w:tcPr>
            <w:tcW w:type="dxa" w:w="1568"/>
          </w:tcPr>
          <w:p>
            <w:r>
              <w:rPr>
                <w:sz w:val="18"/>
              </w:rPr>
              <w:t>AUD 329m (H1 FY26)</w:t>
            </w:r>
          </w:p>
        </w:tc>
        <w:tc>
          <w:tcPr>
            <w:tcW w:type="dxa" w:w="1568"/>
          </w:tcPr>
          <w:p>
            <w:r>
              <w:rPr>
                <w:sz w:val="18"/>
              </w:rPr>
              <w:t>+5.9%</w:t>
            </w:r>
          </w:p>
        </w:tc>
        <w:tc>
          <w:tcPr>
            <w:tcW w:type="dxa" w:w="1568"/>
          </w:tcPr>
          <w:p>
            <w:r>
              <w:rPr>
                <w:sz w:val="18"/>
              </w:rPr>
              <w:t>51.0% (Focus on Furn.) / 60.1% (Mocka)</w:t>
            </w:r>
          </w:p>
        </w:tc>
        <w:tc>
          <w:tcPr>
            <w:tcW w:type="dxa" w:w="1568"/>
          </w:tcPr>
          <w:p>
            <w:r>
              <w:rPr>
                <w:sz w:val="18"/>
              </w:rPr>
              <w:t>EBIT AUD 30.0m (-9.1%)</w:t>
            </w:r>
          </w:p>
        </w:tc>
        <w:tc>
          <w:tcPr>
            <w:tcW w:type="dxa" w:w="1568"/>
          </w:tcPr>
          <w:p>
            <w:r>
              <w:rPr>
                <w:sz w:val="18"/>
              </w:rPr>
              <w:t>Mocka AU online +44.5%; Linen Lover &gt;1m members</w:t>
            </w:r>
          </w:p>
        </w:tc>
      </w:tr>
      <w:tr>
        <w:tc>
          <w:tcPr>
            <w:tcW w:type="dxa" w:w="1568"/>
          </w:tcPr>
          <w:p>
            <w:r>
              <w:rPr>
                <w:sz w:val="18"/>
              </w:rPr>
              <w:t>Harvey Norman (HVN)</w:t>
            </w:r>
          </w:p>
        </w:tc>
        <w:tc>
          <w:tcPr>
            <w:tcW w:type="dxa" w:w="1568"/>
          </w:tcPr>
          <w:p>
            <w:r>
              <w:rPr>
                <w:sz w:val="18"/>
              </w:rPr>
              <w:t>Not separately published</w:t>
            </w:r>
          </w:p>
        </w:tc>
        <w:tc>
          <w:tcPr>
            <w:tcW w:type="dxa" w:w="1568"/>
          </w:tcPr>
          <w:p>
            <w:r>
              <w:rPr>
                <w:sz w:val="18"/>
              </w:rPr>
              <w:t>N/A</w:t>
            </w:r>
          </w:p>
        </w:tc>
        <w:tc>
          <w:tcPr>
            <w:tcW w:type="dxa" w:w="1568"/>
          </w:tcPr>
          <w:p>
            <w:r>
              <w:rPr>
                <w:sz w:val="18"/>
              </w:rPr>
              <w:t>Not disclosed by segment</w:t>
            </w:r>
          </w:p>
        </w:tc>
        <w:tc>
          <w:tcPr>
            <w:tcW w:type="dxa" w:w="1568"/>
          </w:tcPr>
          <w:p>
            <w:r>
              <w:rPr>
                <w:sz w:val="18"/>
              </w:rPr>
              <w:t>Net income AUD 321.9m (+47% — includes prop. revals.)</w:t>
            </w:r>
          </w:p>
        </w:tc>
        <w:tc>
          <w:tcPr>
            <w:tcW w:type="dxa" w:w="1568"/>
          </w:tcPr>
          <w:p>
            <w:r>
              <w:rPr>
                <w:sz w:val="18"/>
              </w:rPr>
              <w:t>YTD share price -33.8%; P/E 9.9x; yield 6.52%</w:t>
            </w:r>
          </w:p>
        </w:tc>
      </w:tr>
      <w:tr>
        <w:tc>
          <w:tcPr>
            <w:tcW w:type="dxa" w:w="1568"/>
          </w:tcPr>
          <w:p>
            <w:r>
              <w:rPr>
                <w:sz w:val="18"/>
              </w:rPr>
              <w:t>Focus on Furniture (Adairs)</w:t>
            </w:r>
          </w:p>
        </w:tc>
        <w:tc>
          <w:tcPr>
            <w:tcW w:type="dxa" w:w="1568"/>
          </w:tcPr>
          <w:p>
            <w:r>
              <w:rPr>
                <w:sz w:val="18"/>
              </w:rPr>
              <w:t>AUD 63.1m (H1 FY26)</w:t>
            </w:r>
          </w:p>
        </w:tc>
        <w:tc>
          <w:tcPr>
            <w:tcW w:type="dxa" w:w="1568"/>
          </w:tcPr>
          <w:p>
            <w:r>
              <w:rPr>
                <w:sz w:val="18"/>
              </w:rPr>
              <w:t>+1.9%</w:t>
            </w:r>
          </w:p>
        </w:tc>
        <w:tc>
          <w:tcPr>
            <w:tcW w:type="dxa" w:w="1568"/>
          </w:tcPr>
          <w:p>
            <w:r>
              <w:rPr>
                <w:sz w:val="18"/>
              </w:rPr>
              <w:t>51.0% (-20 bps)</w:t>
            </w:r>
          </w:p>
        </w:tc>
        <w:tc>
          <w:tcPr>
            <w:tcW w:type="dxa" w:w="1568"/>
          </w:tcPr>
          <w:p>
            <w:r>
              <w:rPr>
                <w:sz w:val="18"/>
              </w:rPr>
              <w:t>EBIT AUD 5.8m (-31.7%); margin 9.2% vs 13.7% prior</w:t>
            </w:r>
          </w:p>
        </w:tc>
        <w:tc>
          <w:tcPr>
            <w:tcW w:type="dxa" w:w="1568"/>
          </w:tcPr>
          <w:p>
            <w:r>
              <w:rPr>
                <w:sz w:val="18"/>
              </w:rPr>
              <w:t>LFL -3.3% — most significant margin compression in peer set</w:t>
            </w:r>
          </w:p>
        </w:tc>
      </w:tr>
    </w:tbl>
    <w:p/>
    <w:p>
      <w:pPr>
        <w:pStyle w:val="Heading2"/>
      </w:pPr>
      <w:r>
        <w:t>Outlier Flags</w:t>
      </w:r>
    </w:p>
    <w:p>
      <w:pPr>
        <w:pStyle w:val="ListBullet"/>
      </w:pPr>
      <w:r>
        <w:t>Nick Scali's 65.9% ANZ gross margin is significantly above the sector norm, reflecting premium positioning and the made-to-order model.</w:t>
      </w:r>
    </w:p>
    <w:p>
      <w:pPr>
        <w:pStyle w:val="ListBullet"/>
      </w:pPr>
      <w:r>
        <w:t>Temple &amp; Webster's free cash flow declined 29.4% despite 20% revenue growth — margin investment required to sustain growth trajectory.</w:t>
      </w:r>
    </w:p>
    <w:p>
      <w:pPr>
        <w:pStyle w:val="ListBullet"/>
      </w:pPr>
      <w:r>
        <w:t>Focus on Furniture EBIT margin compressed from 13.7% to 9.2% — most significant margin deterioration in peer set; directly comparable to G&amp;G Furniture.</w:t>
      </w:r>
    </w:p>
    <w:p>
      <w:pPr>
        <w:pStyle w:val="ListBullet"/>
      </w:pPr>
      <w:r>
        <w:t>Harvey Norman's P/E of 9.9x and 6.52% yield signal either value or earnings risk; YTD decline of 33.8% is an outlier vs. peers.</w:t>
      </w:r>
    </w:p>
    <w:p>
      <w:pPr>
        <w:pStyle w:val="Heading2"/>
      </w:pPr>
      <w:r>
        <w:t>Metric Definitions</w:t>
      </w:r>
    </w:p>
    <w:p>
      <w:pPr>
        <w:pStyle w:val="ListBullet"/>
      </w:pPr>
      <w:r>
        <w:rPr>
          <w:b/>
        </w:rPr>
        <w:t xml:space="preserve">Revenue: </w:t>
      </w:r>
      <w:r>
        <w:t>reported net sales revenue.</w:t>
      </w:r>
    </w:p>
    <w:p>
      <w:pPr>
        <w:pStyle w:val="ListBullet"/>
      </w:pPr>
      <w:r>
        <w:rPr>
          <w:b/>
        </w:rPr>
        <w:t xml:space="preserve">Gross margin: </w:t>
      </w:r>
      <w:r>
        <w:t>gross profit / revenue (as disclosed in investor slides; definition varies by company — not directly comparable across all entities).</w:t>
      </w:r>
    </w:p>
    <w:p>
      <w:pPr>
        <w:pStyle w:val="ListBullet"/>
      </w:pPr>
      <w:r>
        <w:rPr>
          <w:b/>
        </w:rPr>
        <w:t xml:space="preserve">EBIT: </w:t>
      </w:r>
      <w:r>
        <w:t>earnings before interest and tax (underlying, where disclosed).</w:t>
      </w:r>
    </w:p>
    <w:p>
      <w:pPr>
        <w:pStyle w:val="ListBullet"/>
      </w:pPr>
      <w:r>
        <w:rPr>
          <w:b/>
        </w:rPr>
        <w:t xml:space="preserve">LFL: </w:t>
      </w:r>
      <w:r>
        <w:t>like-for-like (same store) sales growth.</w:t>
      </w:r>
    </w:p>
    <w:p>
      <w:pPr>
        <w:pStyle w:val="ListBullet"/>
      </w:pPr>
      <w:r>
        <w:rPr>
          <w:b/>
        </w:rPr>
        <w:t xml:space="preserve">Active customers (TPW): </w:t>
      </w:r>
      <w:r>
        <w:t>customers who purchased in the trailing 12 months.</w:t>
      </w:r>
    </w:p>
    <w:p>
      <w:r>
        <w:br w:type="page"/>
      </w:r>
    </w:p>
    <w:p>
      <w:pPr>
        <w:pStyle w:val="Heading2"/>
      </w:pPr>
      <w:r>
        <w:t>DISCLAIMER</w:t>
      </w:r>
    </w:p>
    <w:p>
      <w:r>
        <w:rPr>
          <w:i/>
          <w:sz w:val="18"/>
        </w:rPr>
        <w:t>This digest is prepared for internal LKG / Hypnos Group use only. It is based exclusively on publicly available information as at 8 May 2026. All data sourced from third-party reports (IBISWorld) should be treated as directionally indicative and not independently verified at primary source. Figures sourced from [SEARCH SNIPPET ONLY] pages have not been confirmed by direct page access. This digest does not constitute financial advice, investment advice, or legal advice.</w:t>
        <w:br/>
        <w:br/>
        <w:t>No confidential LKG data, confidential competitor data, or data from a current or previous employer's proprietary systems has been used. All financial figures for publicly listed companies (TPW, ADH, NCK, HVN) are sourced from public investor materials or public financial news as cited.</w:t>
        <w:br/>
        <w:br/>
        <w:t>Human approval gate: Pre-approved for document generation for week ending 8 May 2026.</w:t>
        <w:br/>
        <w:t>Distribution: Restricted to LKG / Hypnos Group internal use. No external distribution without written approval.</w:t>
        <w:br/>
        <w:t>Next digest due: Week ending 15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