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3864"/>
          <w:sz w:val="22"/>
        </w:rPr>
        <w:t>LKG / HYPNOS GROUP</w:t>
      </w:r>
    </w:p>
    <w:p>
      <w:pPr>
        <w:jc w:val="center"/>
      </w:pPr>
      <w:r>
        <w:rPr>
          <w:b/>
          <w:color w:val="1F3864"/>
          <w:sz w:val="36"/>
        </w:rPr>
        <w:t>LKG Furniture Market Digest</w:t>
      </w:r>
    </w:p>
    <w:p>
      <w:pPr>
        <w:jc w:val="center"/>
      </w:pPr>
      <w:r>
        <w:rPr>
          <w:sz w:val="26"/>
        </w:rPr>
        <w:t>Week Ending 8 May 2026 — GM Edition</w:t>
      </w:r>
    </w:p>
    <w:p/>
    <w:p>
      <w:pPr>
        <w:jc w:val="center"/>
      </w:pPr>
      <w:r>
        <w:rPr>
          <w:b/>
          <w:sz w:val="20"/>
        </w:rPr>
        <w:t xml:space="preserve">Prepared for: </w:t>
      </w:r>
      <w:r>
        <w:rPr>
          <w:sz w:val="20"/>
        </w:rPr>
        <w:t>General Manager, LKG / Hypnos Group (Snooze, Future Sleep, G&amp;G Furniture)</w:t>
      </w:r>
    </w:p>
    <w:p>
      <w:pPr>
        <w:jc w:val="center"/>
      </w:pPr>
      <w:r>
        <w:rPr>
          <w:b/>
          <w:sz w:val="20"/>
        </w:rPr>
        <w:t xml:space="preserve">Scope: </w:t>
      </w:r>
      <w:r>
        <w:rPr>
          <w:sz w:val="20"/>
        </w:rPr>
        <w:t>Australian bedding, mattresses, sleep products, and bedroom furniture</w:t>
      </w:r>
    </w:p>
    <w:p>
      <w:pPr>
        <w:jc w:val="center"/>
      </w:pPr>
      <w:r>
        <w:rPr>
          <w:b/>
          <w:sz w:val="20"/>
        </w:rPr>
        <w:t xml:space="preserve">Prepared by: </w:t>
      </w:r>
      <w:r>
        <w:rPr>
          <w:sz w:val="20"/>
        </w:rPr>
        <w:t>LKG Furniture Market Researcher</w:t>
      </w:r>
    </w:p>
    <w:p>
      <w:pPr>
        <w:jc w:val="center"/>
      </w:pPr>
      <w:r>
        <w:rPr>
          <w:b/>
          <w:sz w:val="20"/>
        </w:rPr>
        <w:t xml:space="preserve">Date: </w:t>
      </w:r>
      <w:r>
        <w:rPr>
          <w:sz w:val="20"/>
        </w:rPr>
        <w:t>8 May 2026</w:t>
      </w:r>
    </w:p>
    <w:p>
      <w:pPr>
        <w:jc w:val="center"/>
      </w:pPr>
      <w:r>
        <w:rPr>
          <w:b/>
          <w:sz w:val="20"/>
        </w:rPr>
        <w:t xml:space="preserve">Classification: </w:t>
      </w:r>
      <w:r>
        <w:rPr>
          <w:sz w:val="20"/>
        </w:rPr>
        <w:t>INTERNAL — LKG / Hypnos Group Use Only</w:t>
      </w:r>
    </w:p>
    <w:p/>
    <w:p>
      <w:r>
        <w:br w:type="page"/>
      </w:r>
    </w:p>
    <w:p>
      <w:pPr>
        <w:pStyle w:val="Heading1"/>
      </w:pPr>
      <w:r>
        <w:t>EXECUTIVE SUMMARY</w:t>
      </w:r>
    </w:p>
    <w:p>
      <w:r>
        <w:rPr>
          <w:b w:val="0"/>
          <w:i w:val="0"/>
        </w:rPr>
        <w:t>The Australian mattress and bedroom furniture market (IBISWorld 2026 size: AUD 4.4 billion) is navigating a period of measured recovery following the inflation and interest-rate headwinds of 2022-2024. Consumer confidence is stabilising but spending remains selective, with value-signalling promotions dominating the competitive landscape this week.</w:t>
      </w:r>
    </w:p>
    <w:p>
      <w:r>
        <w:rPr>
          <w:b/>
          <w:i w:val="0"/>
        </w:rPr>
        <w:t>Overall Market Read:</w:t>
      </w:r>
    </w:p>
    <w:p>
      <w:r>
        <w:rPr>
          <w:b w:val="0"/>
          <w:i w:val="0"/>
        </w:rPr>
        <w:t>The sector is in a slow-growth, high-promotion environment. Physical specialists must compete on service, trial experiences, and loyalty mechanics. The LKG / Hypnos Group franchise network faces twin pressures: online channel growth (Temple &amp; Webster, Mocka) and margin compression at the furniture-focused end (Focus on Furniture comp -3.3%). The current Snooze Member Event is well-timed but must be supported with strong in-store conversion to offset the Forty Frenzy competitive event running concurrently.</w:t>
      </w:r>
    </w:p>
    <w:p/>
    <w:p>
      <w:pPr>
        <w:pStyle w:val="Heading1"/>
      </w:pPr>
      <w:r>
        <w:t>GM ACTION ITEMS — WEEK ENDING 8 MAY 2026</w:t>
      </w:r>
    </w:p>
    <w:p>
      <w:r>
        <w:rPr>
          <w:b w:val="0"/>
          <w:i/>
        </w:rPr>
        <w:t>The following items require operational attention this week.</w:t>
      </w:r>
    </w:p>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680"/>
            <w:shd w:val="clear" w:color="auto" w:fill="1F3864"/>
          </w:tcPr>
          <w:p>
            <w:r>
              <w:rPr>
                <w:b/>
                <w:color w:val="FFFFFF"/>
                <w:sz w:val="18"/>
              </w:rPr>
              <w:t>Ref</w:t>
            </w:r>
          </w:p>
        </w:tc>
        <w:tc>
          <w:tcPr>
            <w:tcW w:type="dxa" w:w="2551"/>
            <w:shd w:val="clear" w:color="auto" w:fill="1F3864"/>
          </w:tcPr>
          <w:p>
            <w:r>
              <w:rPr>
                <w:b/>
                <w:color w:val="FFFFFF"/>
                <w:sz w:val="18"/>
              </w:rPr>
              <w:t>Item</w:t>
            </w:r>
          </w:p>
        </w:tc>
        <w:tc>
          <w:tcPr>
            <w:tcW w:type="dxa" w:w="3118"/>
            <w:shd w:val="clear" w:color="auto" w:fill="1F3864"/>
          </w:tcPr>
          <w:p>
            <w:r>
              <w:rPr>
                <w:b/>
                <w:color w:val="FFFFFF"/>
                <w:sz w:val="18"/>
              </w:rPr>
              <w:t>Why This Matters</w:t>
            </w:r>
          </w:p>
        </w:tc>
        <w:tc>
          <w:tcPr>
            <w:tcW w:type="dxa" w:w="3118"/>
            <w:shd w:val="clear" w:color="auto" w:fill="1F3864"/>
          </w:tcPr>
          <w:p>
            <w:r>
              <w:rPr>
                <w:b/>
                <w:color w:val="FFFFFF"/>
                <w:sz w:val="18"/>
              </w:rPr>
              <w:t>Action Required</w:t>
            </w:r>
          </w:p>
        </w:tc>
        <w:tc>
          <w:tcPr>
            <w:tcW w:type="dxa" w:w="1984"/>
            <w:shd w:val="clear" w:color="auto" w:fill="1F3864"/>
          </w:tcPr>
          <w:p>
            <w:r>
              <w:rPr>
                <w:b/>
                <w:color w:val="FFFFFF"/>
                <w:sz w:val="18"/>
              </w:rPr>
              <w:t>Confidence / Source</w:t>
            </w:r>
          </w:p>
        </w:tc>
      </w:tr>
      <w:tr>
        <w:tc>
          <w:tcPr>
            <w:tcW w:type="dxa" w:w="1881"/>
          </w:tcPr>
          <w:p>
            <w:r>
              <w:rPr>
                <w:b/>
                <w:sz w:val="18"/>
              </w:rPr>
              <w:t>GM-1</w:t>
            </w:r>
          </w:p>
        </w:tc>
        <w:tc>
          <w:tcPr>
            <w:tcW w:type="dxa" w:w="1881"/>
          </w:tcPr>
          <w:p>
            <w:r>
              <w:rPr>
                <w:sz w:val="18"/>
              </w:rPr>
              <w:t>Snooze Member Event closes 14 May 2026</w:t>
            </w:r>
          </w:p>
        </w:tc>
        <w:tc>
          <w:tcPr>
            <w:tcW w:type="dxa" w:w="1881"/>
          </w:tcPr>
          <w:p>
            <w:r>
              <w:rPr>
                <w:sz w:val="18"/>
              </w:rPr>
              <w:t>Six-day execution window. Member exclusivity requires database activation and store-level stock alignment.</w:t>
            </w:r>
          </w:p>
        </w:tc>
        <w:tc>
          <w:tcPr>
            <w:tcW w:type="dxa" w:w="1881"/>
          </w:tcPr>
          <w:p>
            <w:r>
              <w:rPr>
                <w:sz w:val="18"/>
              </w:rPr>
              <w:t>Confirm store execution readiness; monitor redemption rates daily; assess stock cover for featured bedroom suites and protector offer (closes 10 May).</w:t>
            </w:r>
          </w:p>
        </w:tc>
        <w:tc>
          <w:tcPr>
            <w:tcW w:type="dxa" w:w="1881"/>
          </w:tcPr>
          <w:p>
            <w:r>
              <w:rPr>
                <w:sz w:val="18"/>
              </w:rPr>
              <w:t>High | snooze.com.au (fetched 8 May 2026)</w:t>
            </w:r>
          </w:p>
        </w:tc>
      </w:tr>
      <w:tr>
        <w:tc>
          <w:tcPr>
            <w:tcW w:type="dxa" w:w="1881"/>
          </w:tcPr>
          <w:p>
            <w:r>
              <w:rPr>
                <w:b/>
                <w:sz w:val="18"/>
              </w:rPr>
              <w:t>GM-2</w:t>
            </w:r>
          </w:p>
        </w:tc>
        <w:tc>
          <w:tcPr>
            <w:tcW w:type="dxa" w:w="1881"/>
          </w:tcPr>
          <w:p>
            <w:r>
              <w:rPr>
                <w:sz w:val="18"/>
              </w:rPr>
              <w:t>Forty Winks 'Forty Frenzy' running concurrently</w:t>
            </w:r>
          </w:p>
        </w:tc>
        <w:tc>
          <w:tcPr>
            <w:tcW w:type="dxa" w:w="1881"/>
          </w:tcPr>
          <w:p>
            <w:r>
              <w:rPr>
                <w:sz w:val="18"/>
              </w:rPr>
              <w:t>Direct promotional competition on premium mattress brands (TEMPUR, Sealy, King Koil) overlapping Snooze's member window.</w:t>
            </w:r>
          </w:p>
        </w:tc>
        <w:tc>
          <w:tcPr>
            <w:tcW w:type="dxa" w:w="1881"/>
          </w:tcPr>
          <w:p>
            <w:r>
              <w:rPr>
                <w:sz w:val="18"/>
              </w:rPr>
              <w:t>Monitor Forty Winks pricing and promotional depth; assess whether Snooze member pricing remains competitive; consider targeted member communication.</w:t>
            </w:r>
          </w:p>
        </w:tc>
        <w:tc>
          <w:tcPr>
            <w:tcW w:type="dxa" w:w="1881"/>
          </w:tcPr>
          <w:p>
            <w:r>
              <w:rPr>
                <w:sz w:val="18"/>
              </w:rPr>
              <w:t>Medium | fortywinks.com.au (SEARCH SNIPPET ONLY — end date unconfirmed)</w:t>
            </w:r>
          </w:p>
        </w:tc>
      </w:tr>
      <w:tr>
        <w:tc>
          <w:tcPr>
            <w:tcW w:type="dxa" w:w="1881"/>
          </w:tcPr>
          <w:p>
            <w:r>
              <w:rPr>
                <w:b/>
                <w:sz w:val="18"/>
              </w:rPr>
              <w:t>GM-3</w:t>
            </w:r>
          </w:p>
        </w:tc>
        <w:tc>
          <w:tcPr>
            <w:tcW w:type="dxa" w:w="1881"/>
          </w:tcPr>
          <w:p>
            <w:r>
              <w:rPr>
                <w:sz w:val="18"/>
              </w:rPr>
              <w:t>IKEA 60-day return policy tightening (effective 9 April 2026)</w:t>
            </w:r>
          </w:p>
        </w:tc>
        <w:tc>
          <w:tcPr>
            <w:tcW w:type="dxa" w:w="1881"/>
          </w:tcPr>
          <w:p>
            <w:r>
              <w:rPr>
                <w:sz w:val="18"/>
              </w:rPr>
              <w:t>IKEA's assembled-product return window cut from 365 to 60 days. Snooze sleep trial and return terms now comparatively more attractive.</w:t>
            </w:r>
          </w:p>
        </w:tc>
        <w:tc>
          <w:tcPr>
            <w:tcW w:type="dxa" w:w="1881"/>
          </w:tcPr>
          <w:p>
            <w:r>
              <w:rPr>
                <w:sz w:val="18"/>
              </w:rPr>
              <w:t>Audit current Snooze sleep trial / return policy terms; if &gt;60 days, activate marketing message positioning Snooze vs. IKEA.</w:t>
            </w:r>
          </w:p>
        </w:tc>
        <w:tc>
          <w:tcPr>
            <w:tcW w:type="dxa" w:w="1881"/>
          </w:tcPr>
          <w:p>
            <w:r>
              <w:rPr>
                <w:sz w:val="18"/>
              </w:rPr>
              <w:t>High | RNZ News (9 April 2026)</w:t>
            </w:r>
          </w:p>
        </w:tc>
      </w:tr>
      <w:tr>
        <w:tc>
          <w:tcPr>
            <w:tcW w:type="dxa" w:w="1881"/>
          </w:tcPr>
          <w:p>
            <w:r>
              <w:rPr>
                <w:b/>
                <w:sz w:val="18"/>
              </w:rPr>
              <w:t>GM-4</w:t>
            </w:r>
          </w:p>
        </w:tc>
        <w:tc>
          <w:tcPr>
            <w:tcW w:type="dxa" w:w="1881"/>
          </w:tcPr>
          <w:p>
            <w:r>
              <w:rPr>
                <w:sz w:val="18"/>
              </w:rPr>
              <w:t>Bedshed delivery pricing increase (March 2026)</w:t>
            </w:r>
          </w:p>
        </w:tc>
        <w:tc>
          <w:tcPr>
            <w:tcW w:type="dxa" w:w="1881"/>
          </w:tcPr>
          <w:p>
            <w:r>
              <w:rPr>
                <w:sz w:val="18"/>
              </w:rPr>
              <w:t>Logistics cost pass-through in the specialty segment. Signals delivery economics under pressure across sector.</w:t>
            </w:r>
          </w:p>
        </w:tc>
        <w:tc>
          <w:tcPr>
            <w:tcW w:type="dxa" w:w="1881"/>
          </w:tcPr>
          <w:p>
            <w:r>
              <w:rPr>
                <w:sz w:val="18"/>
              </w:rPr>
              <w:t>Review Snooze and Future Sleep delivery cost structures. Assess whether any adjustment is required or current terms are a competitive advantage.</w:t>
            </w:r>
          </w:p>
        </w:tc>
        <w:tc>
          <w:tcPr>
            <w:tcW w:type="dxa" w:w="1881"/>
          </w:tcPr>
          <w:p>
            <w:r>
              <w:rPr>
                <w:sz w:val="18"/>
              </w:rPr>
              <w:t>Medium | bedshed.com.au (SEARCH SNIPPET ONLY)</w:t>
            </w:r>
          </w:p>
        </w:tc>
      </w:tr>
      <w:tr>
        <w:tc>
          <w:tcPr>
            <w:tcW w:type="dxa" w:w="1881"/>
          </w:tcPr>
          <w:p>
            <w:r>
              <w:rPr>
                <w:b/>
                <w:sz w:val="18"/>
              </w:rPr>
              <w:t>GM-5</w:t>
            </w:r>
          </w:p>
        </w:tc>
        <w:tc>
          <w:tcPr>
            <w:tcW w:type="dxa" w:w="1881"/>
          </w:tcPr>
          <w:p>
            <w:r>
              <w:rPr>
                <w:sz w:val="18"/>
              </w:rPr>
              <w:t>Adairs Linen Lover loyalty programme &gt;1 million members</w:t>
            </w:r>
          </w:p>
        </w:tc>
        <w:tc>
          <w:tcPr>
            <w:tcW w:type="dxa" w:w="1881"/>
          </w:tcPr>
          <w:p>
            <w:r>
              <w:rPr>
                <w:sz w:val="18"/>
              </w:rPr>
              <w:t>Direct competitive reference for Snooze's member activation model. Adairs' loyalty scale gives it significant CRM leverage on linen and bedding.</w:t>
            </w:r>
          </w:p>
        </w:tc>
        <w:tc>
          <w:tcPr>
            <w:tcW w:type="dxa" w:w="1881"/>
          </w:tcPr>
          <w:p>
            <w:r>
              <w:rPr>
                <w:sz w:val="18"/>
              </w:rPr>
              <w:t>Benchmark Snooze member database size and engagement rates against Adairs' disclosed metrics. Identify gaps and acceleration opportunities.</w:t>
            </w:r>
          </w:p>
        </w:tc>
        <w:tc>
          <w:tcPr>
            <w:tcW w:type="dxa" w:w="1881"/>
          </w:tcPr>
          <w:p>
            <w:r>
              <w:rPr>
                <w:sz w:val="18"/>
              </w:rPr>
              <w:t>High | Adairs 1H FY26 investor slides</w:t>
            </w:r>
          </w:p>
        </w:tc>
      </w:tr>
      <w:tr>
        <w:tc>
          <w:tcPr>
            <w:tcW w:type="dxa" w:w="1881"/>
          </w:tcPr>
          <w:p>
            <w:r>
              <w:rPr>
                <w:b/>
                <w:sz w:val="18"/>
              </w:rPr>
              <w:t>GM-6</w:t>
            </w:r>
          </w:p>
        </w:tc>
        <w:tc>
          <w:tcPr>
            <w:tcW w:type="dxa" w:w="1881"/>
          </w:tcPr>
          <w:p>
            <w:r>
              <w:rPr>
                <w:sz w:val="18"/>
              </w:rPr>
              <w:t>Focus on Furniture LFL -3.3% — mid-market furniture under pressure</w:t>
            </w:r>
          </w:p>
        </w:tc>
        <w:tc>
          <w:tcPr>
            <w:tcW w:type="dxa" w:w="1881"/>
          </w:tcPr>
          <w:p>
            <w:r>
              <w:rPr>
                <w:sz w:val="18"/>
              </w:rPr>
              <w:t>Directly relevant to G&amp;G Furniture. The physical mid-market furniture format is struggling despite modest top-line growth.</w:t>
            </w:r>
          </w:p>
        </w:tc>
        <w:tc>
          <w:tcPr>
            <w:tcW w:type="dxa" w:w="1881"/>
          </w:tcPr>
          <w:p>
            <w:r>
              <w:rPr>
                <w:sz w:val="18"/>
              </w:rPr>
              <w:t>Review G&amp;G Furniture same-store sales trends vs. Focus on Furniture benchmark. Assess value proposition, category mix, and location factors.</w:t>
            </w:r>
          </w:p>
        </w:tc>
        <w:tc>
          <w:tcPr>
            <w:tcW w:type="dxa" w:w="1881"/>
          </w:tcPr>
          <w:p>
            <w:r>
              <w:rPr>
                <w:sz w:val="18"/>
              </w:rPr>
              <w:t>High | Adairs 1H FY26 investor slides</w:t>
            </w:r>
          </w:p>
        </w:tc>
      </w:tr>
      <w:tr>
        <w:tc>
          <w:tcPr>
            <w:tcW w:type="dxa" w:w="1881"/>
          </w:tcPr>
          <w:p>
            <w:r>
              <w:rPr>
                <w:b/>
                <w:sz w:val="18"/>
              </w:rPr>
              <w:t>GM-7</w:t>
            </w:r>
          </w:p>
        </w:tc>
        <w:tc>
          <w:tcPr>
            <w:tcW w:type="dxa" w:w="1881"/>
          </w:tcPr>
          <w:p>
            <w:r>
              <w:rPr>
                <w:sz w:val="18"/>
              </w:rPr>
              <w:t>ABS Retail Trade data discontinued — MHSI transition required</w:t>
            </w:r>
          </w:p>
        </w:tc>
        <w:tc>
          <w:tcPr>
            <w:tcW w:type="dxa" w:w="1881"/>
          </w:tcPr>
          <w:p>
            <w:r>
              <w:rPr>
                <w:sz w:val="18"/>
              </w:rPr>
              <w:t>Internal LKG market monitoring processes likely reference ABS Retail Trade. This series no longer exists for July 2025 onwards.</w:t>
            </w:r>
          </w:p>
        </w:tc>
        <w:tc>
          <w:tcPr>
            <w:tcW w:type="dxa" w:w="1881"/>
          </w:tcPr>
          <w:p>
            <w:r>
              <w:rPr>
                <w:sz w:val="18"/>
              </w:rPr>
              <w:t>Audit LKG internal reporting dashboards. Identify which reports reference ABS Retail Trade and transition to MHSI as the new data source.</w:t>
            </w:r>
          </w:p>
        </w:tc>
        <w:tc>
          <w:tcPr>
            <w:tcW w:type="dxa" w:w="1881"/>
          </w:tcPr>
          <w:p>
            <w:r>
              <w:rPr>
                <w:sz w:val="18"/>
              </w:rPr>
              <w:t>High | ABS (abs.gov.au, July 2025 final release)</w:t>
            </w:r>
          </w:p>
        </w:tc>
      </w:tr>
    </w:tbl>
    <w:p/>
    <w:p>
      <w:pPr>
        <w:pStyle w:val="Heading1"/>
      </w:pPr>
      <w:r>
        <w:t>COMPETITOR WATCH</w:t>
      </w:r>
    </w:p>
    <w:p>
      <w:pPr>
        <w:pStyle w:val="Heading2"/>
      </w:pPr>
      <w:r>
        <w:t>Snooze (LKG / Hypnos Group Asset)</w:t>
      </w:r>
    </w:p>
    <w:p>
      <w:r>
        <w:rPr>
          <w:b w:val="0"/>
          <w:i/>
          <w:sz w:val="18"/>
        </w:rPr>
        <w:t>Source: snooze.com.au/pages/promotions-terms--conditions (fetched 8 May 2026) | Confidence: High</w:t>
      </w:r>
    </w:p>
    <w:p>
      <w:r>
        <w:rPr>
          <w:b/>
          <w:i w:val="0"/>
        </w:rPr>
        <w:t>Current activations (week ending 8 May 2026):</w:t>
      </w:r>
    </w:p>
    <w:p>
      <w:pPr>
        <w:pStyle w:val="ListBullet"/>
      </w:pPr>
      <w:r>
        <w:rPr>
          <w:b/>
        </w:rPr>
        <w:t xml:space="preserve">Snooze Member Event: </w:t>
      </w:r>
      <w:r>
        <w:t>exclusive member discounts, closing 14 May 2026. Excludes floor stock, Snooze Deals, clearance, and service fees.</w:t>
      </w:r>
    </w:p>
    <w:p>
      <w:pPr>
        <w:pStyle w:val="ListBullet"/>
      </w:pPr>
      <w:r>
        <w:rPr>
          <w:b/>
        </w:rPr>
        <w:t xml:space="preserve">Protect-A-Bed Sensation Bamboo Mattress Protector Member Offer: </w:t>
      </w:r>
      <w:r>
        <w:t>closes 10 May 2026. Online redemption only at snooze.com.au for registered members.</w:t>
      </w:r>
    </w:p>
    <w:p>
      <w:pPr>
        <w:pStyle w:val="ListBullet"/>
      </w:pPr>
      <w:r>
        <w:rPr>
          <w:b/>
        </w:rPr>
        <w:t xml:space="preserve">Bedgear C1 Mattress Free Delivery: </w:t>
      </w:r>
      <w:r>
        <w:t>complimentary local delivery within 25 km of participating Snooze stores.</w:t>
      </w:r>
    </w:p>
    <w:p>
      <w:pPr>
        <w:pStyle w:val="ListBullet"/>
      </w:pPr>
      <w:r>
        <w:rPr>
          <w:b/>
        </w:rPr>
        <w:t xml:space="preserve">Bedroom Suite Bundles: </w:t>
      </w:r>
      <w:r>
        <w:t>pre-assembled packages (Alice, Clovelly Feature, Eva QS Timber) while stock lasts.</w:t>
      </w:r>
    </w:p>
    <w:p>
      <w:pPr>
        <w:pStyle w:val="ListBullet"/>
      </w:pPr>
      <w:r>
        <w:rPr>
          <w:b/>
        </w:rPr>
        <w:t xml:space="preserve">Latitude 40 Months Interest Free: </w:t>
      </w:r>
      <w:r>
        <w:t>approved customers only; monthly fee AUD 10.95; 29.99% p.a. interest after plan expiry.</w:t>
      </w:r>
    </w:p>
    <w:p>
      <w:pPr>
        <w:pStyle w:val="ListBullet"/>
      </w:pPr>
      <w:r>
        <w:rPr>
          <w:b/>
        </w:rPr>
        <w:t xml:space="preserve">Velocity Frequent Flyer Points: </w:t>
      </w:r>
      <w:r>
        <w:t>1 Velocity Point per AUD 1 spent on eligible products; allocated 30 days post-delivery.</w:t>
      </w:r>
    </w:p>
    <w:p/>
    <w:p>
      <w:pPr>
        <w:pStyle w:val="Heading2"/>
      </w:pPr>
      <w:r>
        <w:t>Forty Winks</w:t>
      </w:r>
    </w:p>
    <w:p>
      <w:r>
        <w:rPr>
          <w:b w:val="0"/>
          <w:i/>
          <w:sz w:val="18"/>
        </w:rPr>
        <w:t>Source: fortywinks.com.au/forty-frenzy-sale/ (HTTP 403 — SEARCH SNIPPET ONLY) | Confidence: Medium</w:t>
      </w:r>
    </w:p>
    <w:p>
      <w:r>
        <w:rPr>
          <w:b/>
          <w:i w:val="0"/>
        </w:rPr>
        <w:t>Current activations:</w:t>
      </w:r>
    </w:p>
    <w:p>
      <w:pPr>
        <w:pStyle w:val="ListBullet"/>
      </w:pPr>
      <w:r>
        <w:rPr>
          <w:b/>
        </w:rPr>
        <w:t xml:space="preserve">'Forty Frenzy' sale: </w:t>
      </w:r>
      <w:r>
        <w:t>up to 50% off mattresses and up to 30% off furniture (concurrent with Snooze Member Event).</w:t>
      </w:r>
    </w:p>
    <w:p>
      <w:pPr>
        <w:pStyle w:val="ListBullet"/>
      </w:pPr>
      <w:r>
        <w:rPr>
          <w:b/>
        </w:rPr>
        <w:t xml:space="preserve">Premium brands featured: </w:t>
      </w:r>
      <w:r>
        <w:t>Sealy, King Koil, TEMPUR, Silent Partner, Crown Posture, Mlily.</w:t>
      </w:r>
    </w:p>
    <w:p>
      <w:pPr>
        <w:pStyle w:val="ListBullet"/>
      </w:pPr>
      <w:r>
        <w:rPr>
          <w:b/>
        </w:rPr>
        <w:t xml:space="preserve">Bedroom furniture: </w:t>
      </w:r>
      <w:r>
        <w:t>bed frames, gas lift storage ranges included.</w:t>
      </w:r>
    </w:p>
    <w:p>
      <w:pPr>
        <w:pStyle w:val="ListBullet"/>
      </w:pPr>
      <w:r>
        <w:rPr>
          <w:b/>
        </w:rPr>
        <w:t xml:space="preserve">Network: </w:t>
      </w:r>
      <w:r>
        <w:t>over 100 family-owned franchise stores across Australia.</w:t>
      </w:r>
    </w:p>
    <w:p>
      <w:pPr>
        <w:pStyle w:val="ListBullet"/>
      </w:pPr>
      <w:r>
        <w:rPr>
          <w:b/>
        </w:rPr>
        <w:t xml:space="preserve">Qantas partnership: </w:t>
      </w:r>
      <w:r>
        <w:t>Qantas Frequent Flyer points earn on purchases.</w:t>
      </w:r>
    </w:p>
    <w:p>
      <w:pPr>
        <w:pStyle w:val="ListBullet"/>
      </w:pPr>
      <w:r>
        <w:rPr>
          <w:b/>
        </w:rPr>
        <w:t xml:space="preserve">Note: </w:t>
      </w:r>
      <w:r>
        <w:t>exact end date for current Forty Frenzy not confirmed — human verification required (HR-1).</w:t>
      </w:r>
    </w:p>
    <w:p/>
    <w:p>
      <w:pPr>
        <w:pStyle w:val="Heading2"/>
      </w:pPr>
      <w:r>
        <w:t>IKEA Australia</w:t>
      </w:r>
    </w:p>
    <w:p>
      <w:r>
        <w:rPr>
          <w:b w:val="0"/>
          <w:i/>
          <w:sz w:val="18"/>
        </w:rPr>
        <w:t>Source: ikea.com.au (fetched 8 May 2026); RNZ News (9 April 2026) | Confidence: High</w:t>
      </w:r>
    </w:p>
    <w:p>
      <w:pPr>
        <w:pStyle w:val="ListBullet"/>
      </w:pPr>
      <w:r>
        <w:rPr>
          <w:b/>
        </w:rPr>
        <w:t xml:space="preserve">Returns policy change (effective 9 April 2026): </w:t>
      </w:r>
      <w:r>
        <w:t>assembled/opened products — return window reduced from 365 days to 60 days ('Test and Try'). Unopened products retain 365-day window. Australia and NZ only; UK retains 365 days.</w:t>
      </w:r>
    </w:p>
    <w:p>
      <w:pPr>
        <w:pStyle w:val="ListBullet"/>
      </w:pPr>
      <w:r>
        <w:rPr>
          <w:b/>
        </w:rPr>
        <w:t xml:space="preserve">IKEA PS 2026 Collection (imminent launch): </w:t>
      </w:r>
      <w:r>
        <w:t>design-led range including inflatable easy chair, flexible floor lamp, rocking pine bench. No bedroom-specific items confirmed.</w:t>
      </w:r>
    </w:p>
    <w:p>
      <w:pPr>
        <w:pStyle w:val="ListBullet"/>
      </w:pPr>
      <w:r>
        <w:rPr>
          <w:b/>
        </w:rPr>
        <w:t xml:space="preserve">New bedroom products (2026): </w:t>
      </w:r>
      <w:r>
        <w:t>BLASTASEN nightstand with cable management (AUD 129.99); RAMNEFJALL bed frame now in bold blue.</w:t>
      </w:r>
    </w:p>
    <w:p/>
    <w:p>
      <w:pPr>
        <w:pStyle w:val="Heading2"/>
      </w:pPr>
      <w:r>
        <w:t>Bedshed</w:t>
      </w:r>
    </w:p>
    <w:p>
      <w:r>
        <w:rPr>
          <w:b w:val="0"/>
          <w:i/>
          <w:sz w:val="18"/>
        </w:rPr>
        <w:t>Source: bedshed.com.au (SEARCH SNIPPET ONLY — HTTP 403) | Confidence: Medium</w:t>
      </w:r>
    </w:p>
    <w:p>
      <w:pPr>
        <w:pStyle w:val="ListBullet"/>
      </w:pPr>
      <w:r>
        <w:rPr>
          <w:b/>
        </w:rPr>
        <w:t xml:space="preserve">Delivery pricing update: </w:t>
      </w:r>
      <w:r>
        <w:t>Delivery pricing increased March 2026, citing global fuel cost pressures — signals logistics cost pass-through across the specialty segment.</w:t>
      </w:r>
    </w:p>
    <w:p>
      <w:pPr>
        <w:pStyle w:val="ListBullet"/>
      </w:pPr>
      <w:r>
        <w:rPr>
          <w:b/>
        </w:rPr>
        <w:t xml:space="preserve">Market position: </w:t>
      </w:r>
      <w:r>
        <w:t>IBISWorld identifies Bedshed as third-largest specialty sleep retailer (after Forty Winks and Harvey Norman).</w:t>
      </w:r>
    </w:p>
    <w:p>
      <w:pPr>
        <w:pStyle w:val="ListBullet"/>
      </w:pPr>
      <w:r>
        <w:rPr>
          <w:b/>
        </w:rPr>
        <w:t xml:space="preserve">Positioning: </w:t>
      </w:r>
      <w:r>
        <w:t>Promotes Australian-Made bed frames and bedroom furniture as a category differentiator.</w:t>
      </w:r>
    </w:p>
    <w:p/>
    <w:p>
      <w:pPr>
        <w:pStyle w:val="Heading1"/>
      </w:pPr>
      <w:r>
        <w:t>SUPPLY CHAIN SIGNALS</w:t>
      </w:r>
    </w:p>
    <w:p>
      <w:pPr>
        <w:pStyle w:val="ListBullet"/>
      </w:pPr>
      <w:r>
        <w:rPr>
          <w:b/>
        </w:rPr>
        <w:t xml:space="preserve">Bedshed delivery pricing (March 2026): </w:t>
      </w:r>
      <w:r>
        <w:t>fuel and logistics cost pressures confirmed. [Confidence: Medium — SEARCH SNIPPET ONLY]</w:t>
      </w:r>
    </w:p>
    <w:p>
      <w:pPr>
        <w:pStyle w:val="ListBullet"/>
      </w:pPr>
      <w:r>
        <w:rPr>
          <w:b/>
        </w:rPr>
        <w:t xml:space="preserve">Adairs FX hedging: </w:t>
      </w:r>
      <w:r>
        <w:t>97% of remaining FY26 USD import commitments hedged. LKG brands should confirm own hedging posture for H2 FY26. [Confidence: High | Source: Adairs 1H FY26 investor slides]</w:t>
      </w:r>
    </w:p>
    <w:p>
      <w:pPr>
        <w:pStyle w:val="ListBullet"/>
      </w:pPr>
      <w:r>
        <w:rPr>
          <w:b/>
        </w:rPr>
        <w:t xml:space="preserve">IKEA PS 2026 supply chain: </w:t>
      </w:r>
      <w:r>
        <w:t>no public data disclosed. Design push toward inflatable/modular formats suggests accessible-price innovation. [Confidence: High | Source: ikea.com.au]</w:t>
      </w:r>
    </w:p>
    <w:p>
      <w:pPr>
        <w:pStyle w:val="ListBullet"/>
      </w:pPr>
      <w:r>
        <w:rPr>
          <w:b/>
        </w:rPr>
        <w:t xml:space="preserve">Global logistics: </w:t>
      </w:r>
      <w:r>
        <w:t>no Australian port or freight data obtained this cycle. Further monitoring recommended.</w:t>
      </w:r>
    </w:p>
    <w:p/>
    <w:p>
      <w:pPr>
        <w:pStyle w:val="Heading1"/>
      </w:pPr>
      <w:r>
        <w:t>DEMAND SIGNALS</w:t>
      </w:r>
    </w:p>
    <w:p>
      <w:pPr>
        <w:pStyle w:val="Heading2"/>
      </w:pPr>
      <w:r>
        <w:t>ABS / MHSI Household Spending</w:t>
      </w:r>
    </w:p>
    <w:p>
      <w:r>
        <w:rPr>
          <w:b w:val="0"/>
          <w:i/>
          <w:sz w:val="18"/>
        </w:rPr>
        <w:t>Source: abs.gov.au (Retail Trade June 2025, final release 31 July 2025; MHSI methodology March 2026) | Confidence: High</w:t>
      </w:r>
    </w:p>
    <w:p>
      <w:pPr>
        <w:pStyle w:val="ListBullet"/>
      </w:pPr>
      <w:r>
        <w:rPr>
          <w:b/>
        </w:rPr>
        <w:t xml:space="preserve">Last published ABS Retail Trade (June 2025 — final release): </w:t>
      </w:r>
      <w:r>
        <w:t>furniture, floor coverings, houseware and textile goods retailing: +3.0% month-on-month (+AUD 47.7 million, seasonally adjusted). Total household goods retailing: +2.3% m/m (+AUD 138.3 million). Total retail turnover: AUD 37,906.6 million; +1.2% m/m; +4.9% YoY.</w:t>
      </w:r>
    </w:p>
    <w:p>
      <w:pPr>
        <w:pStyle w:val="ListBullet"/>
      </w:pPr>
      <w:r>
        <w:rPr>
          <w:b/>
        </w:rPr>
        <w:t xml:space="preserve">ABS Retail Trade series ceased: </w:t>
      </w:r>
      <w:r>
        <w:t>publication ended after June 2025 (31 July 2025). Replaced by Monthly Household Spending Indicator (MHSI). MHSI covers ~68% of household consumption vs. 33% for Retail Trade. MHSI methodology updated December 2025 with improved CPI deflators back to September 2024.</w:t>
      </w:r>
    </w:p>
    <w:p>
      <w:pPr>
        <w:pStyle w:val="ListBullet"/>
      </w:pPr>
      <w:r>
        <w:rPr>
          <w:b/>
        </w:rPr>
        <w:t xml:space="preserve">Action required (GM-7): </w:t>
      </w:r>
      <w:r>
        <w:t>audit LKG internal reporting dashboards and transition all Retail Trade references to MHSI.</w:t>
      </w:r>
    </w:p>
    <w:p/>
    <w:p>
      <w:pPr>
        <w:pStyle w:val="Heading1"/>
      </w:pPr>
      <w:r>
        <w:t>ITEMS REQUIRING HUMAN REVIEW BEFORE CIRCULATION</w:t>
      </w:r>
    </w:p>
    <w:p>
      <w:r>
        <w:rPr>
          <w:b w:val="0"/>
          <w:i/>
        </w:rPr>
        <w:t>The following items could not be fully verified and must be resolved before including in external or circulated communications.</w:t>
      </w:r>
    </w:p>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7B3F00"/>
          </w:tcPr>
          <w:p>
            <w:r>
              <w:rPr>
                <w:b/>
                <w:color w:val="FFFFFF"/>
                <w:sz w:val="18"/>
              </w:rPr>
              <w:t>Ref</w:t>
            </w:r>
          </w:p>
        </w:tc>
        <w:tc>
          <w:tcPr>
            <w:tcW w:type="dxa" w:w="3135"/>
            <w:shd w:val="clear" w:color="auto" w:fill="7B3F00"/>
          </w:tcPr>
          <w:p>
            <w:r>
              <w:rPr>
                <w:b/>
                <w:color w:val="FFFFFF"/>
                <w:sz w:val="18"/>
              </w:rPr>
              <w:t>Item / Issue</w:t>
            </w:r>
          </w:p>
        </w:tc>
        <w:tc>
          <w:tcPr>
            <w:tcW w:type="dxa" w:w="3135"/>
            <w:shd w:val="clear" w:color="auto" w:fill="7B3F00"/>
          </w:tcPr>
          <w:p>
            <w:r>
              <w:rPr>
                <w:b/>
                <w:color w:val="FFFFFF"/>
                <w:sz w:val="18"/>
              </w:rPr>
              <w:t>Recommended Action</w:t>
            </w:r>
          </w:p>
        </w:tc>
      </w:tr>
      <w:tr>
        <w:tc>
          <w:tcPr>
            <w:tcW w:type="dxa" w:w="3135"/>
          </w:tcPr>
          <w:p>
            <w:r>
              <w:rPr>
                <w:b/>
                <w:sz w:val="18"/>
              </w:rPr>
              <w:t>HR-1</w:t>
            </w:r>
          </w:p>
        </w:tc>
        <w:tc>
          <w:tcPr>
            <w:tcW w:type="dxa" w:w="3135"/>
          </w:tcPr>
          <w:p>
            <w:r>
              <w:rPr>
                <w:sz w:val="18"/>
              </w:rPr>
              <w:t>Forty Winks Forty Frenzy end date — page fetch returned HTTP 403; end date unconfirmed.</w:t>
            </w:r>
          </w:p>
        </w:tc>
        <w:tc>
          <w:tcPr>
            <w:tcW w:type="dxa" w:w="3135"/>
          </w:tcPr>
          <w:p>
            <w:r>
              <w:rPr>
                <w:sz w:val="18"/>
              </w:rPr>
              <w:t>Visit fortywinks.com.au directly or call a store to confirm current Forty Frenzy end date.</w:t>
            </w:r>
          </w:p>
        </w:tc>
      </w:tr>
      <w:tr>
        <w:tc>
          <w:tcPr>
            <w:tcW w:type="dxa" w:w="3135"/>
          </w:tcPr>
          <w:p>
            <w:r>
              <w:rPr>
                <w:b/>
                <w:sz w:val="18"/>
              </w:rPr>
              <w:t>HR-2</w:t>
            </w:r>
          </w:p>
        </w:tc>
        <w:tc>
          <w:tcPr>
            <w:tcW w:type="dxa" w:w="3135"/>
          </w:tcPr>
          <w:p>
            <w:r>
              <w:rPr>
                <w:sz w:val="18"/>
              </w:rPr>
              <w:t>Bedshed delivery pricing quantum — increase confirmed but exact fee structure not available.</w:t>
            </w:r>
          </w:p>
        </w:tc>
        <w:tc>
          <w:tcPr>
            <w:tcW w:type="dxa" w:w="3135"/>
          </w:tcPr>
          <w:p>
            <w:r>
              <w:rPr>
                <w:sz w:val="18"/>
              </w:rPr>
              <w:t>Visit bedshed.com.au or a local store to obtain current delivery pricing schedule.</w:t>
            </w:r>
          </w:p>
        </w:tc>
      </w:tr>
      <w:tr>
        <w:tc>
          <w:tcPr>
            <w:tcW w:type="dxa" w:w="3135"/>
          </w:tcPr>
          <w:p>
            <w:r>
              <w:rPr>
                <w:b/>
                <w:sz w:val="18"/>
              </w:rPr>
              <w:t>HR-3</w:t>
            </w:r>
          </w:p>
        </w:tc>
        <w:tc>
          <w:tcPr>
            <w:tcW w:type="dxa" w:w="3135"/>
          </w:tcPr>
          <w:p>
            <w:r>
              <w:rPr>
                <w:sz w:val="18"/>
              </w:rPr>
              <w:t>Harvey Norman franchise sales and bedding segment revenue — 2026 investor tab did not render.</w:t>
            </w:r>
          </w:p>
        </w:tc>
        <w:tc>
          <w:tcPr>
            <w:tcW w:type="dxa" w:w="3135"/>
          </w:tcPr>
          <w:p>
            <w:r>
              <w:rPr>
                <w:sz w:val="18"/>
              </w:rPr>
              <w:t>Download HVN H1 FY26 results announcement from ASX or harveynormanholdings.com.au.</w:t>
            </w:r>
          </w:p>
        </w:tc>
      </w:tr>
      <w:tr>
        <w:tc>
          <w:tcPr>
            <w:tcW w:type="dxa" w:w="3135"/>
          </w:tcPr>
          <w:p>
            <w:r>
              <w:rPr>
                <w:b/>
                <w:sz w:val="18"/>
              </w:rPr>
              <w:t>HR-4</w:t>
            </w:r>
          </w:p>
        </w:tc>
        <w:tc>
          <w:tcPr>
            <w:tcW w:type="dxa" w:w="3135"/>
          </w:tcPr>
          <w:p>
            <w:r>
              <w:rPr>
                <w:sz w:val="18"/>
              </w:rPr>
              <w:t>Snooze store count and franchise performance — no current public data extracted.</w:t>
            </w:r>
          </w:p>
        </w:tc>
        <w:tc>
          <w:tcPr>
            <w:tcW w:type="dxa" w:w="3135"/>
          </w:tcPr>
          <w:p>
            <w:r>
              <w:rPr>
                <w:sz w:val="18"/>
              </w:rPr>
              <w:t>Use LKG internal data for benchmarking. Do not use in external communications without verification.</w:t>
            </w:r>
          </w:p>
        </w:tc>
      </w:tr>
      <w:tr>
        <w:tc>
          <w:tcPr>
            <w:tcW w:type="dxa" w:w="3135"/>
          </w:tcPr>
          <w:p>
            <w:r>
              <w:rPr>
                <w:b/>
                <w:sz w:val="18"/>
              </w:rPr>
              <w:t>HR-5</w:t>
            </w:r>
          </w:p>
        </w:tc>
        <w:tc>
          <w:tcPr>
            <w:tcW w:type="dxa" w:w="3135"/>
          </w:tcPr>
          <w:p>
            <w:r>
              <w:rPr>
                <w:sz w:val="18"/>
              </w:rPr>
              <w:t>IBISWorld AUD 4.4 billion market size — paywalled report; search snippet only.</w:t>
            </w:r>
          </w:p>
        </w:tc>
        <w:tc>
          <w:tcPr>
            <w:tcW w:type="dxa" w:w="3135"/>
          </w:tcPr>
          <w:p>
            <w:r>
              <w:rPr>
                <w:sz w:val="18"/>
              </w:rPr>
              <w:t>Obtain IBISWorld report directly or cross-reference against licensed data provider.</w:t>
            </w:r>
          </w:p>
        </w:tc>
      </w:tr>
      <w:tr>
        <w:tc>
          <w:tcPr>
            <w:tcW w:type="dxa" w:w="3135"/>
          </w:tcPr>
          <w:p>
            <w:r>
              <w:rPr>
                <w:b/>
                <w:sz w:val="18"/>
              </w:rPr>
              <w:t>HR-6</w:t>
            </w:r>
          </w:p>
        </w:tc>
        <w:tc>
          <w:tcPr>
            <w:tcW w:type="dxa" w:w="3135"/>
          </w:tcPr>
          <w:p>
            <w:r>
              <w:rPr>
                <w:sz w:val="18"/>
              </w:rPr>
              <w:t>Sleeping Giant — no material 2026 activity identified.</w:t>
            </w:r>
          </w:p>
        </w:tc>
        <w:tc>
          <w:tcPr>
            <w:tcW w:type="dxa" w:w="3135"/>
          </w:tcPr>
          <w:p>
            <w:r>
              <w:rPr>
                <w:sz w:val="18"/>
              </w:rPr>
              <w:t>If priority for specific catchments, conduct manual website review or store visit.</w:t>
            </w:r>
          </w:p>
        </w:tc>
      </w:tr>
    </w:tbl>
    <w:p>
      <w:r>
        <w:br w:type="page"/>
      </w:r>
    </w:p>
    <w:p>
      <w:pPr>
        <w:pStyle w:val="Heading2"/>
      </w:pPr>
      <w:r>
        <w:t>DISCLAIMER</w:t>
      </w:r>
    </w:p>
    <w:p>
      <w:r>
        <w:rPr>
          <w:i/>
          <w:sz w:val="18"/>
        </w:rPr>
        <w:t>This digest is prepared for internal LKG / Hypnos Group use only. It is based exclusively on publicly available information as at 8 May 2026. All data sourced from third-party reports (IBISWorld) should be treated as directionally indicative and not independently verified at primary source. Figures sourced from [SEARCH SNIPPET ONLY] pages have not been confirmed by direct page access. This digest does not constitute financial advice, investment advice, or legal advice.</w:t>
        <w:br/>
        <w:br/>
        <w:t>No confidential LKG data, confidential competitor data, or data from a current or previous employer's proprietary systems has been used. All financial figures for publicly listed companies (TPW, ADH, NCK, HVN) are sourced from public investor materials or public financial news as cited.</w:t>
        <w:br/>
        <w:br/>
        <w:t>Human approval gate: Pre-approved for document generation for week ending 8 May 2026.</w:t>
        <w:br/>
        <w:t>Distribution: Restricted to LKG / Hypnos Group internal use. No external distribution without written approval.</w:t>
        <w:br/>
        <w:t>Next digest due: Week ending 15 May 2026.</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