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664"/>
          <w:sz w:val="40"/>
        </w:rPr>
        <w:t>LKG Furniture — Board Weekly Digest</w:t>
      </w:r>
    </w:p>
    <w:p>
      <w:r>
        <w:rPr>
          <w:color w:val="2E74B5"/>
          <w:sz w:val="22"/>
        </w:rPr>
        <w:t>Hypnos Group (Snooze | Future Sleep | G&amp;G Furniture)</w:t>
      </w:r>
    </w:p>
    <w:p>
      <w:r>
        <w:rPr>
          <w:i/>
          <w:color w:val="606060"/>
          <w:sz w:val="18"/>
        </w:rPr>
        <w:t>Audience: LKG Board of Directors  |  Week: May 1-8, 2026  |  Prepared: 8 May 2026</w:t>
      </w:r>
    </w:p>
    <w:p>
      <w:pPr>
        <w:spacing w:before="80" w:after="80"/>
        <w:pBdr>
          <w:bottom w:val="single" w:sz="6" w:space="1" w:color="2E74B5"/>
        </w:pBdr>
      </w:pPr>
    </w:p>
    <w:p/>
    <w:p>
      <w:pPr>
        <w:pStyle w:val="Heading1"/>
      </w:pPr>
      <w:r>
        <w:rPr>
          <w:b/>
          <w:color w:val="1F3664"/>
          <w:sz w:val="32"/>
        </w:rPr>
        <w:t>1. Board Summary</w:t>
      </w:r>
    </w:p>
    <w:p>
      <w:pPr>
        <w:spacing w:after="120"/>
      </w:pPr>
      <w:r>
        <w:rPr>
          <w:b/>
          <w:i w:val="0"/>
          <w:color w:val="404040"/>
          <w:sz w:val="20"/>
        </w:rPr>
        <w:t>Five strategic signals require Board-level awareness this week. Three require a formal response at the June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Rate cycle risk is not priced in: </w:t>
      </w:r>
      <w:r>
        <w:rPr>
          <w:color w:val="404040"/>
          <w:sz w:val="20"/>
        </w:rPr>
        <w:t>RBA's third consecutive hike to 4.35% and consumer confidence at 67.2 (near 50-year lows) create material downside risk to FY27 revenue assumptions. The Board requires stress-tested revenue scenarios before capital allocation decisions for FY27 can be made.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A.H. Beard administration is a rare M&amp;A and positioning event: </w:t>
      </w:r>
      <w:r>
        <w:rPr>
          <w:color w:val="404040"/>
          <w:sz w:val="20"/>
        </w:rPr>
        <w:t>The voluntary administration of Australia's largest domestic mattress manufacturer creates a time-bounded window for asset acquisition, brand positioning, or supply chain advantage. Board should be briefed on LKG's strategic options within 30 days.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PE capital is restructuring the competitive landscape: </w:t>
      </w:r>
      <w:r>
        <w:rPr>
          <w:color w:val="404040"/>
          <w:sz w:val="20"/>
        </w:rPr>
        <w:t>Allegro Funds acquired Fantastic Furniture (4 May); Quadrant PE's Amart+Freedom entity (~126 stores) is targeting an ASX IPO. The Board needs a competitive response framework before PE investment activity shows up in LKG's like-for-like data.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Margin discipline is the single most important operational lever: </w:t>
      </w:r>
      <w:r>
        <w:rPr>
          <w:color w:val="404040"/>
          <w:sz w:val="20"/>
        </w:rPr>
        <w:t>Nick Scali NPAT +29%; Adairs NPAT -34% in the same quarter. The structural difference was margin discipline. A formal minimum GM floor policy across the LKG portfolio should be tabled at the June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Online structural shift is accelerating: </w:t>
      </w:r>
      <w:r>
        <w:rPr>
          <w:color w:val="404040"/>
          <w:sz w:val="20"/>
        </w:rPr>
        <w:t>Temple and Webster achieved record 2.9% market share (+20% revenue) in the same environment where physical retailers declined. The Board needs to set the capital allocation threshold for LKG's online investment or the cost of deferral compounds each cycle.</w:t>
      </w:r>
    </w:p>
    <w:p/>
    <w:p>
      <w:pPr>
        <w:pStyle w:val="Heading1"/>
      </w:pPr>
      <w:r>
        <w:rPr>
          <w:b/>
          <w:color w:val="1F3664"/>
          <w:sz w:val="32"/>
        </w:rPr>
        <w:t>2. Macro Environment and Consumer Outlook</w:t>
      </w:r>
    </w:p>
    <w:p>
      <w:pPr>
        <w:pStyle w:val="Heading2"/>
      </w:pPr>
      <w:r>
        <w:rPr>
          <w:b/>
          <w:color w:val="2E74B5"/>
          <w:sz w:val="26"/>
        </w:rPr>
        <w:t>Interest Rate Cycle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The RBA raised the cash rate to 4.35% on 5 May 2026, the third consecutive increase. CBA economists expect a hold for the remainder of 2026, but further increases remain possible. This is a direct and sustained headwind to discretionary household goods spending.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Source: </w:t>
      </w:r>
      <w:r>
        <w:rPr>
          <w:color w:val="404040"/>
          <w:sz w:val="20"/>
        </w:rPr>
        <w:t>Source: RBA Media Release mr-26-12, 5 May 2026.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Strategic implication: </w:t>
      </w:r>
      <w:r>
        <w:rPr>
          <w:color w:val="404040"/>
          <w:sz w:val="20"/>
        </w:rPr>
        <w:t>Three consecutive hikes with no near-term relief signal materially increases the probability of a revenue downside scenario through H1 FY27. Board should request stress-tested revenue scenarios.</w:t>
      </w:r>
    </w:p>
    <w:p>
      <w:pPr>
        <w:pStyle w:val="Heading2"/>
      </w:pPr>
      <w:r>
        <w:rPr>
          <w:b/>
          <w:color w:val="2E74B5"/>
          <w:sz w:val="26"/>
        </w:rPr>
        <w:t>Consumer Confidence — Near Historic Lows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ANZ-Roy Morgan Consumer Confidence: 67.2 (5 May 2026). Only 15% of Australians consider now a good time to buy major household goods. Pessimistic 5-year economic expectations rose 2 percentage points to 31%. This is the seventh lowest reading in 50 years of the index.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Source: </w:t>
      </w:r>
      <w:r>
        <w:rPr>
          <w:color w:val="404040"/>
          <w:sz w:val="20"/>
        </w:rPr>
        <w:t>Source: Roy Morgan/ANZ, 5 May 2026.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Strategic implication: </w:t>
      </w:r>
      <w:r>
        <w:rPr>
          <w:color w:val="404040"/>
          <w:sz w:val="20"/>
        </w:rPr>
        <w:t>Any LKG FY27 revenue plan built on a consumer recovery assumption requires explicit Board-level acknowledgement of this risk. Confidence at this level has historically preceded a 12-18 month period of suppressed discretionary spending.</w:t>
      </w:r>
    </w:p>
    <w:p>
      <w:pPr>
        <w:pStyle w:val="Heading2"/>
      </w:pPr>
      <w:r>
        <w:rPr>
          <w:b/>
          <w:color w:val="2E74B5"/>
          <w:sz w:val="26"/>
        </w:rPr>
        <w:t>Housing Market — Two-Speed Dynamics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Approximately 559,457 residential sales YTD 2026, down 1.9% YoY but 5.6% above the 5-year average. Median dwelling value AUD $922,838 (+9.9% YoY). Market is bifurcated: Perth and Queensland strong; Sydney and Melbourne softening. Dwelling commencements +11.6% YoY in Q3 2025 imply a furniture demand wave in late 2026 to Q2 2027.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Source: </w:t>
      </w:r>
      <w:r>
        <w:rPr>
          <w:color w:val="404040"/>
          <w:sz w:val="20"/>
        </w:rPr>
        <w:t>Source: Cotality April 2026; ABS.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Strategic implication: </w:t>
      </w:r>
      <w:r>
        <w:rPr>
          <w:color w:val="404040"/>
          <w:sz w:val="20"/>
        </w:rPr>
        <w:t>PE-backed competitors are likely preparing for the same demand wave. LKG's franchise network and inventory positioning in growth corridors (Perth, QLD) needs to be validated against this timeline.</w:t>
      </w:r>
    </w:p>
    <w:p/>
    <w:p>
      <w:pPr>
        <w:pStyle w:val="Heading1"/>
      </w:pPr>
      <w:r>
        <w:rPr>
          <w:b/>
          <w:color w:val="1F3664"/>
          <w:sz w:val="32"/>
        </w:rPr>
        <w:t>3. Sector Events with Strategic Implications</w:t>
      </w:r>
    </w:p>
    <w:p>
      <w:pPr>
        <w:pStyle w:val="Heading2"/>
      </w:pPr>
      <w:r>
        <w:rPr>
          <w:b/>
          <w:color w:val="2E74B5"/>
          <w:sz w:val="26"/>
        </w:rPr>
        <w:t>A.H. Beard — Voluntary Administration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A.H. Beard — Australia's largest domestic mattress manufacturer, 126 years operating — entered voluntary administration in late April 2026. Administrators P.A. Lucas &amp; Co. Retail distribution partners affected: Harvey Norman, Forty Winks, Domayne. No buyer named.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Strategic implications for LKG:</w:t>
      </w:r>
    </w:p>
    <w:p>
      <w:pPr>
        <w:pStyle w:val="ListBullet"/>
        <w:spacing w:after="80"/>
      </w:pPr>
      <w:r>
        <w:rPr>
          <w:color w:val="404040"/>
          <w:sz w:val="20"/>
        </w:rPr>
        <w:t>This is the most significant supply-side disruption in the Australian sleep sector in decades. The window before a buyer is named is the time for LKG to assess whether any A.H. Beard assets — brand, manufacturing relationships, or retailer contracts — are strategically relevant.</w:t>
      </w:r>
    </w:p>
    <w:p>
      <w:pPr>
        <w:pStyle w:val="ListBullet"/>
        <w:spacing w:after="80"/>
      </w:pPr>
      <w:r>
        <w:rPr>
          <w:color w:val="404040"/>
          <w:sz w:val="20"/>
        </w:rPr>
        <w:t>Competitor retailers (Harvey Norman, Nick Scali) may attempt to acquire assets to secure exclusive supply. Board should determine whether LKG wishes to be a bidder or a monitor.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Source: </w:t>
      </w:r>
      <w:r>
        <w:rPr>
          <w:color w:val="404040"/>
          <w:sz w:val="20"/>
        </w:rPr>
        <w:t>Source: BedTimes Magazine, April 2026.</w:t>
      </w:r>
    </w:p>
    <w:p>
      <w:pPr>
        <w:pStyle w:val="Heading2"/>
      </w:pPr>
      <w:r>
        <w:rPr>
          <w:b/>
          <w:color w:val="2E74B5"/>
          <w:sz w:val="26"/>
        </w:rPr>
        <w:t>ACCC — Emma Sleep $15M Penalty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Federal Court ruling (24 April 2026): Emma Sleep's countdown timers and strikethrough pricing were a 'deliberate marketing strategy' of misleading conduct. ACCC penalty: AUD $15 million. 4 million+ consumers received misleading emails; 500,000 SMS messages.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Strategic implications for LKG:</w:t>
      </w:r>
    </w:p>
    <w:p>
      <w:pPr>
        <w:pStyle w:val="ListBullet"/>
        <w:spacing w:after="80"/>
      </w:pPr>
      <w:r>
        <w:rPr>
          <w:color w:val="404040"/>
          <w:sz w:val="20"/>
        </w:rPr>
        <w:t>This ruling elevates compliance risk for all Australian furniture and bedding retailers using dynamic promotional mechanics. LKG's compliance exposure should be reviewed by legal counsel.</w:t>
      </w:r>
    </w:p>
    <w:p>
      <w:pPr>
        <w:pStyle w:val="ListBullet"/>
        <w:spacing w:after="80"/>
      </w:pPr>
      <w:r>
        <w:rPr>
          <w:color w:val="404040"/>
          <w:sz w:val="20"/>
        </w:rPr>
        <w:t>Reputational opportunity: LKG can differentiate its brands on transparent, compliant promotional practices at a time when a major DTC competitor has been publicly penalised. This is a brand positioning opportunity, not merely a compliance risk.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Source: </w:t>
      </w:r>
      <w:r>
        <w:rPr>
          <w:color w:val="404040"/>
          <w:sz w:val="20"/>
        </w:rPr>
        <w:t>Source: ACCC Media Release, April 2026.</w:t>
      </w:r>
    </w:p>
    <w:p>
      <w:pPr>
        <w:pStyle w:val="Heading2"/>
      </w:pPr>
      <w:r>
        <w:rPr>
          <w:b/>
          <w:color w:val="2E74B5"/>
          <w:sz w:val="26"/>
        </w:rPr>
        <w:t>PE Capital Entering the Sector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Two concurrent PE moves are reshaping the competitive landscape: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Allegro / Fantastic Furniture: </w:t>
      </w:r>
      <w:r>
        <w:rPr>
          <w:color w:val="404040"/>
          <w:sz w:val="20"/>
        </w:rPr>
        <w:t>Allegro Funds acquired Fantastic Furniture (86 stores, AUD $563.5M revenue) on 4 May 2026.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Amart + Freedom IPO: </w:t>
      </w:r>
      <w:r>
        <w:rPr>
          <w:color w:val="404040"/>
          <w:sz w:val="20"/>
        </w:rPr>
        <w:t>Quadrant PE-backed combined Amart+Freedom entity (~126 stores, projected AUD $1B+ revenue — unverified) is targeting an ASX IPO in 2026.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Both entities have PE capital backing with 12-36 month investment horizons and explicit expansion targets. PE-backed retailers typically prioritise store rollout, system investment, and promotional aggression in the growth phase.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Strategic implication: </w:t>
      </w:r>
      <w:r>
        <w:rPr>
          <w:color w:val="404040"/>
          <w:sz w:val="20"/>
        </w:rPr>
        <w:t>Board should assess whether LKG's current competitive positioning and capital allocation is adequate to defend against two simultaneously-capitalised competitors. A formal competitive response plan should be tabled at the June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Review Flag: </w:t>
      </w:r>
      <w:r>
        <w:rPr>
          <w:color w:val="404040"/>
          <w:sz w:val="20"/>
        </w:rPr>
        <w:t>Amart+Freedom $1B+ revenue figure is unverified. Do not use in public-facing materials.</w:t>
      </w:r>
      <w:r>
        <w:rPr>
          <w:b/>
          <w:color w:val="C55000"/>
          <w:sz w:val="18"/>
        </w:rPr>
        <w:t xml:space="preserve">  [REVIEW FLAG]</w:t>
      </w:r>
    </w:p>
    <w:p/>
    <w:p>
      <w:pPr>
        <w:pStyle w:val="Heading1"/>
      </w:pPr>
      <w:r>
        <w:rPr>
          <w:b/>
          <w:color w:val="1F3664"/>
          <w:sz w:val="32"/>
        </w:rPr>
        <w:t>4. Peer Performance Benchmarks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All figures are H1 FY26 unless otherwise stated. Valuation multiples are directional only — sourced from aggregators, not broker research.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Review Flag: </w:t>
      </w:r>
      <w:r>
        <w:rPr>
          <w:color w:val="404040"/>
          <w:sz w:val="20"/>
        </w:rPr>
        <w:t>Valuation multiples below are directional only. Aggregator-sourced, not broker-verified. Do not use in M&amp;A or capital allocation analysis without independent verification.</w:t>
      </w:r>
      <w:r>
        <w:rPr>
          <w:b/>
          <w:color w:val="C55000"/>
          <w:sz w:val="18"/>
        </w:rPr>
        <w:t xml:space="preserve">  [REVIEW FLAG]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568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568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NPAT</w:t>
            </w:r>
          </w:p>
        </w:tc>
        <w:tc>
          <w:tcPr>
            <w:tcW w:type="dxa" w:w="1568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Gross Margin</w:t>
            </w:r>
          </w:p>
        </w:tc>
        <w:tc>
          <w:tcPr>
            <w:tcW w:type="dxa" w:w="1568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EV/EBITDA (indicative)</w:t>
            </w:r>
          </w:p>
        </w:tc>
        <w:tc>
          <w:tcPr>
            <w:tcW w:type="dxa" w:w="1568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Board Relevance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Nick Scali (NCK)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+13.1% ANZ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+29%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Disciplined — no clearance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~8.7-9.2x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Closest pure-play comp. Margin discipline is the differentiator.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Adairs (ADH)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+5.9% to $329M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-34% to $12.8M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-170bps to 17.7%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Not directly applicable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Risk case: promotional matching destroys NPAT in a single half.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Harvey Norman (HVN)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+4.8% AU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+15.2% to $321.9M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~8-10x (distorted by property)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Competitor. Property buffer insulates margin — LKG does not have this.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Temple &amp; Webster (TPW)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+20% to $375.9M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Loss-making (growth)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Online premium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~27.2x (growth premium)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Online structural shift signal. 2.9% market share — record.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LKG implied private range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~6.0-7.5x (20-30% illiquidity discount vs NCK)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Reference range only. Board should confirm with advisers before any transaction.</w:t>
            </w:r>
          </w:p>
        </w:tc>
      </w:tr>
    </w:tbl>
    <w:p/>
    <w:p>
      <w:pPr>
        <w:spacing w:after="120"/>
      </w:pPr>
      <w:r>
        <w:rPr>
          <w:b w:val="0"/>
          <w:i w:val="0"/>
          <w:color w:val="404040"/>
          <w:sz w:val="20"/>
        </w:rPr>
        <w:t>The Nick Scali vs Adairs comparison is the live same-period benchmark. NCK's NPAT +29% vs ADH's -34% in the same consumer environment. The structural differentiator was margin discipline. This is the evidentiary anchor for the proposed minimum GM floor policy.</w:t>
      </w:r>
    </w:p>
    <w:p/>
    <w:p>
      <w:pPr>
        <w:pStyle w:val="Heading1"/>
      </w:pPr>
      <w:r>
        <w:rPr>
          <w:b/>
          <w:color w:val="1F3664"/>
          <w:sz w:val="32"/>
        </w:rPr>
        <w:t>5. Competitive Landscape Shifts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Three structural shifts are occurring simultaneously: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PE capital consolidation: </w:t>
      </w:r>
      <w:r>
        <w:rPr>
          <w:color w:val="404040"/>
          <w:sz w:val="20"/>
        </w:rPr>
        <w:t>PE-backed competitors (Allegro/Fantastic Furniture; Quadrant/Amart+Freedom) are being recapitalised and expanding. Both have stated store growth targets and investment horizons. This is not a cyclical competitive shift — it is structural.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Online structural shift: </w:t>
      </w:r>
      <w:r>
        <w:rPr>
          <w:color w:val="404040"/>
          <w:sz w:val="20"/>
        </w:rPr>
        <w:t>Temple and Webster achieved record 2.9% online market share in H1 FY26, growing at +20% in a flat-to-declining physical retail environment. The online shift is accelerating, not plateauing.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Nick Scali expansion: </w:t>
      </w:r>
      <w:r>
        <w:rPr>
          <w:color w:val="404040"/>
          <w:sz w:val="20"/>
        </w:rPr>
        <w:t>Nick Scali is planning 5 new stores in FY26 and potentially doubling its NZ presence to 13 stores. A well-capitalised, margin-disciplined competitor is actively expanding into growth corridors.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Each of these three shifts individually would warrant a Board response. Occurring simultaneously, they represent a step-change in the competitive intensity facing LKG's portfolio companies.</w:t>
      </w:r>
    </w:p>
    <w:p/>
    <w:p>
      <w:pPr>
        <w:pStyle w:val="Heading1"/>
      </w:pPr>
      <w:r>
        <w:rPr>
          <w:b/>
          <w:color w:val="1F3664"/>
          <w:sz w:val="32"/>
        </w:rPr>
        <w:t>6. Strategic Recommendations for Board</w:t>
      </w:r>
    </w:p>
    <w:p>
      <w:pPr>
        <w:pStyle w:val="Heading2"/>
      </w:pPr>
      <w:r>
        <w:rPr>
          <w:b/>
          <w:color w:val="2E74B5"/>
          <w:sz w:val="26"/>
        </w:rPr>
        <w:t>IG-5: Revenue Scenario Framework for Rate-Cycle Downside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Evidence: Three consecutive RBA hikes to 4.35% (5 May 2026). Consumer confidence 67.2 — near historic lows. Harvey Norman Australian LFL was -1.2% at peak Christmas 2025.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Recommended action: Portfolio CFOs and GM to prepare three scenarios — (1) Base: rate pause Q3, confidence recovery H2; (2) Upside: rate cut, housing demand wave; (3) Downside: two further hikes, confidence falls below 65. Each scenario to include revenue and GM implications per business unit.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Timeline: </w:t>
      </w:r>
      <w:r>
        <w:rPr>
          <w:color w:val="404040"/>
          <w:sz w:val="20"/>
        </w:rPr>
        <w:t>Table at June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Why it matters: </w:t>
      </w:r>
      <w:r>
        <w:rPr>
          <w:color w:val="404040"/>
          <w:sz w:val="20"/>
        </w:rPr>
        <w:t>Board cannot make FY27 capital allocation decisions without stress-tested assumptions. This is a prerequisite for all other strategic planning.</w:t>
      </w:r>
    </w:p>
    <w:p/>
    <w:p>
      <w:pPr>
        <w:pStyle w:val="Heading2"/>
      </w:pPr>
      <w:r>
        <w:rPr>
          <w:b/>
          <w:color w:val="2E74B5"/>
          <w:sz w:val="26"/>
        </w:rPr>
        <w:t>IG-3: Minimum Gross Margin Floor Policy — All Portfolio Companies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Evidence: Nick Scali NPAT +29% vs Adairs NPAT -34% in H1 FY26. The only structural difference was margin discipline. Without a formalised floor, franchise and wholesale promotional decisions default to competitive matching.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Recommended action: GM and CFO to draft minimum GM floor by category (mattresses, bedroom furniture, accessories) for Snooze, Future Sleep, and G&amp;G. Use NCK vs ADH as evidentiary anchor.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Timeline: </w:t>
      </w:r>
      <w:r>
        <w:rPr>
          <w:color w:val="404040"/>
          <w:sz w:val="20"/>
        </w:rPr>
        <w:t>Table at June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Why it matters: </w:t>
      </w:r>
      <w:r>
        <w:rPr>
          <w:color w:val="404040"/>
          <w:sz w:val="20"/>
        </w:rPr>
        <w:t>Without a formalised floor, EOFY will systematically erode margin across the portfolio. One poor half can eliminate a year of revenue growth.</w:t>
      </w:r>
    </w:p>
    <w:p/>
    <w:p>
      <w:pPr>
        <w:pStyle w:val="Heading2"/>
      </w:pPr>
      <w:r>
        <w:rPr>
          <w:b/>
          <w:color w:val="2E74B5"/>
          <w:sz w:val="26"/>
        </w:rPr>
        <w:t>IG-4: Competitive Response to Allegro / Fantastic Furniture Acquisition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Evidence: Allegro acquired Fantastic Furniture (4 May 2026). Amart+Freedom merger Aug 2025. Both PE-backed, both expanding. Combined they represent a new tier of PE-capitalised competition below the Harvey Norman level but above the independent operator level — directly competing with Snooze and G&amp;G.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Recommended action: GM to commission store-location overlap analysis and Allegro acquisition playbook brief. Board to consider whether a formal competitive response plan is required.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Timeline: </w:t>
      </w:r>
      <w:r>
        <w:rPr>
          <w:color w:val="404040"/>
          <w:sz w:val="20"/>
        </w:rPr>
        <w:t>Table at June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Why it matters: </w:t>
      </w:r>
      <w:r>
        <w:rPr>
          <w:color w:val="404040"/>
          <w:sz w:val="20"/>
        </w:rPr>
        <w:t>PE capital entering the sector simultaneously changes the rules of engagement. Without a pre-planned response, LKG will react to competitor moves rather than anticipating them.</w:t>
      </w:r>
    </w:p>
    <w:p/>
    <w:p>
      <w:pPr>
        <w:pStyle w:val="Heading2"/>
      </w:pPr>
      <w:r>
        <w:rPr>
          <w:b/>
          <w:color w:val="2E74B5"/>
          <w:sz w:val="26"/>
        </w:rPr>
        <w:t>IG-8: Online Investment Threshold — Benchmark vs Temple and Webster Trajectory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Evidence: Temple and Webster H1 FY26 revenue +20% to $376M; 2.9% market share (record). This was achieved in the same weak consumer environment where physical retailers declined.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Recommended action: Analyst to benchmark LKG portfolio online revenue share vs Temple and Webster trajectory. Present capital allocation framing for what investment level would arrest (not reverse) structural share shift.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Timeline: </w:t>
      </w:r>
      <w:r>
        <w:rPr>
          <w:color w:val="404040"/>
          <w:sz w:val="20"/>
        </w:rPr>
        <w:t>Table at Q3 FY26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Why it matters: </w:t>
      </w:r>
      <w:r>
        <w:rPr>
          <w:color w:val="404040"/>
          <w:sz w:val="20"/>
        </w:rPr>
        <w:t>Online share shift is structural, not cyclical. Every cycle without a clear online investment threshold allows the gap to widen. Deferral makes the eventual investment larger and the catch-up less certain.</w:t>
      </w:r>
    </w:p>
    <w:p/>
    <w:p>
      <w:pPr>
        <w:pStyle w:val="Heading2"/>
      </w:pPr>
      <w:r>
        <w:rPr>
          <w:b/>
          <w:color w:val="2E74B5"/>
          <w:sz w:val="26"/>
        </w:rPr>
        <w:t>IG-7: G&amp;G Furniture USD Contract Exposure and FX Hedging Review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Evidence: AUD/USD at 0.7242 (+13% YoY, four-year high) as of May 2026.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Recommended action: G&amp;G CFO to provide Board with written summary of USD-denominated contract proportion, current hedging position and maturity dates, and whether the AUD tailwind is reflected in FY27 cost planning.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Timeline: </w:t>
      </w:r>
      <w:r>
        <w:rPr>
          <w:color w:val="404040"/>
          <w:sz w:val="20"/>
        </w:rPr>
        <w:t>Within two weeks. Written summary to Board.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Why it matters: </w:t>
      </w:r>
      <w:r>
        <w:rPr>
          <w:color w:val="404040"/>
          <w:sz w:val="20"/>
        </w:rPr>
        <w:t>13% AUD appreciation on USD contracts is a significant cost tailwind — or an unrecognised hedging risk if contracts were locked at worse rates. This must be confirmed before FY27 budgets are finalised.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Review Flag: </w:t>
      </w:r>
      <w:r>
        <w:rPr>
          <w:color w:val="404040"/>
          <w:sz w:val="20"/>
        </w:rPr>
        <w:t>AUD/USD rate sourced from market aggregator. Verify with G&amp;G treasury.</w:t>
      </w:r>
      <w:r>
        <w:rPr>
          <w:b/>
          <w:color w:val="C55000"/>
          <w:sz w:val="18"/>
        </w:rPr>
        <w:t xml:space="preserve">  [REVIEW FLAG]</w:t>
      </w:r>
    </w:p>
    <w:p/>
    <w:p>
      <w:pPr>
        <w:pStyle w:val="Heading2"/>
      </w:pPr>
      <w:r>
        <w:rPr>
          <w:b/>
          <w:color w:val="2E74B5"/>
          <w:sz w:val="26"/>
        </w:rPr>
        <w:t>IG-9: Housing Demand Readiness Plan for 2026-27 Wave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Evidence: Dwelling commencements +11.6% YoY in Q3 2025 implies a furniture demand wave in late 2026 to Q2 2027. Perth and QLD are leading growth corridors. PE-backed competitors are likely preparing for the same wave.</w:t>
      </w:r>
    </w:p>
    <w:p>
      <w:pPr>
        <w:spacing w:after="120"/>
      </w:pPr>
      <w:r>
        <w:rPr>
          <w:b w:val="0"/>
          <w:i w:val="0"/>
          <w:color w:val="404040"/>
          <w:sz w:val="20"/>
        </w:rPr>
        <w:t>Recommended action: GM to develop readiness brief covering franchise network capacity in growth corridors, Future Sleep range alignment with new-mover segment, and inventory/lead-time planning for H2 2026.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Timeline: </w:t>
      </w:r>
      <w:r>
        <w:rPr>
          <w:color w:val="404040"/>
          <w:sz w:val="20"/>
        </w:rPr>
        <w:t>Table at June Board meeting.</w:t>
      </w:r>
    </w:p>
    <w:p>
      <w:pPr>
        <w:pStyle w:val="ListBullet"/>
        <w:spacing w:after="80"/>
      </w:pPr>
      <w:r>
        <w:rPr>
          <w:b/>
          <w:color w:val="1F3664"/>
          <w:sz w:val="20"/>
        </w:rPr>
        <w:t xml:space="preserve">Why it matters: </w:t>
      </w:r>
      <w:r>
        <w:rPr>
          <w:color w:val="404040"/>
          <w:sz w:val="20"/>
        </w:rPr>
        <w:t>This is a time-bounded structural demand opportunity. The wave arrives regardless of consumer confidence. LKG needs to be positioned to capture it, not react to it after competitors have claimed the corridor.</w:t>
      </w:r>
    </w:p>
    <w:p/>
    <w:p>
      <w:pPr>
        <w:pStyle w:val="Heading1"/>
      </w:pPr>
      <w:r>
        <w:rPr>
          <w:b/>
          <w:color w:val="1F3664"/>
          <w:sz w:val="32"/>
        </w:rPr>
        <w:t>7. Review Flags Requiring Board Attention</w:t>
      </w:r>
    </w:p>
    <w:p>
      <w:pPr>
        <w:spacing w:after="120"/>
      </w:pPr>
      <w:r>
        <w:rPr>
          <w:b w:val="0"/>
          <w:i w:val="0"/>
          <w:color w:val="C55000"/>
          <w:sz w:val="20"/>
        </w:rPr>
        <w:t>The following data points underpin Board-level recommendations but carry uncertainty that must be resolved before being cited in formal Board papers or external communications.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shd w:val="clear" w:color="auto" w:fill="1F3664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C55000"/>
                <w:sz w:val="18"/>
              </w:rPr>
              <w:t>Comps valuation multiples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EV/EBITDA ranges are aggregator-sourced, not broker-verified. LKG implied range of 6.0-7.5x is directional only. Do not use in M&amp;A or capital allocation discussions without independent verification.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CFO / Corporate Adviser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C55000"/>
                <w:sz w:val="18"/>
              </w:rPr>
              <w:t>ABS spending figure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+1.6% MoM nominal only — real volume unconfirmed. Do not use as evidence of category growth.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Finance / Research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C55000"/>
                <w:sz w:val="18"/>
              </w:rPr>
              <w:t>Amart+Freedom revenue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AUD $1B+ unverified. Do not include in Board papers without independent confirmation.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Commercial / Finance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C55000"/>
                <w:sz w:val="18"/>
              </w:rPr>
              <w:t>AUD/USD rate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0.7242 from market aggregator. Verify with G&amp;G treasury before acting.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G&amp;G CFO / Treasury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C55000"/>
                <w:sz w:val="18"/>
              </w:rPr>
              <w:t>A.H. Beard M&amp;A options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buyer named. Administrators are P.A. Lucas &amp; Co. Board should determine whether to formally monitor or engage within 30 days.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Board / M&amp;A Adviser</w:t>
            </w:r>
          </w:p>
        </w:tc>
      </w:tr>
    </w:tbl>
    <w:p/>
    <w:p>
      <w:pPr>
        <w:spacing w:before="80" w:after="80"/>
        <w:pBdr>
          <w:bottom w:val="single" w:sz="6" w:space="1" w:color="2E74B5"/>
        </w:pBdr>
      </w:pPr>
    </w:p>
    <w:p>
      <w:pPr>
        <w:spacing w:before="160"/>
      </w:pPr>
      <w:r>
        <w:rPr>
          <w:i/>
          <w:color w:val="707070"/>
          <w:sz w:val="16"/>
        </w:rPr>
        <w:t>DRAFT - APPROVED FOR INTERNAL DISTRIBUTION ONLY. Do not forward, publish, or circulate outside Hypnos Group (LK Group) without authorisation. Prepared: 8 May 2026. Week: May 1-8, 2026.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