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664"/>
          <w:sz w:val="40"/>
        </w:rPr>
        <w:t>LKG Furniture — GM Weekly Digest</w:t>
      </w:r>
    </w:p>
    <w:p>
      <w:r>
        <w:rPr>
          <w:color w:val="2E74B5"/>
          <w:sz w:val="22"/>
        </w:rPr>
        <w:t>Hypnos Group (Snooze | Future Sleep | G&amp;G Furniture)</w:t>
      </w:r>
    </w:p>
    <w:p>
      <w:r>
        <w:rPr>
          <w:i/>
          <w:color w:val="606060"/>
          <w:sz w:val="18"/>
        </w:rPr>
        <w:t>Audience: General Manager and Senior Operations Leadership  |  Week: May 1-8, 2026  |  Prepared: 8 May 2026</w:t>
      </w:r>
    </w:p>
    <w:p>
      <w:pPr>
        <w:spacing w:before="80" w:after="80"/>
        <w:pBdr>
          <w:bottom w:val="single" w:sz="6" w:space="1" w:color="2E74B5"/>
        </w:pBdr>
      </w:pPr>
    </w:p>
    <w:p/>
    <w:p>
      <w:pPr>
        <w:pStyle w:val="Heading1"/>
      </w:pPr>
      <w:r>
        <w:rPr>
          <w:b/>
          <w:color w:val="1F3664"/>
          <w:sz w:val="32"/>
        </w:rPr>
        <w:t>1. Executive Summary</w:t>
      </w:r>
    </w:p>
    <w:p>
      <w:pPr>
        <w:pStyle w:val="ListBullet"/>
        <w:spacing w:after="80"/>
      </w:pPr>
      <w:r>
        <w:rPr>
          <w:b/>
          <w:color w:val="1F3664"/>
          <w:sz w:val="20"/>
        </w:rPr>
        <w:t xml:space="preserve">Rate headwind confirmed: </w:t>
      </w:r>
      <w:r>
        <w:rPr>
          <w:color w:val="404040"/>
          <w:sz w:val="20"/>
        </w:rPr>
        <w:t>RBA's third consecutive hike to 4.35% (5 May) keeps consumer confidence near historic lows (ANZ-Roy Morgan 67.2). Household goods purchase intent at only 15%. Assume caution-mode consumer through Q3 2026.</w:t>
      </w:r>
    </w:p>
    <w:p>
      <w:pPr>
        <w:pStyle w:val="ListBullet"/>
        <w:spacing w:after="80"/>
      </w:pPr>
      <w:r>
        <w:rPr>
          <w:b/>
          <w:color w:val="1F3664"/>
          <w:sz w:val="20"/>
        </w:rPr>
        <w:t xml:space="preserve">A.H. Beard in administration — act now: </w:t>
      </w:r>
      <w:r>
        <w:rPr>
          <w:color w:val="404040"/>
          <w:sz w:val="20"/>
        </w:rPr>
        <w:t>Australia's largest domestic mattress manufacturer entered voluntary administration late April. Retail supply chain disruption is live. Competitor stocking gaps and opportunistic range acquisitions are possible in the short window before a buyer is named.</w:t>
      </w:r>
    </w:p>
    <w:p>
      <w:pPr>
        <w:pStyle w:val="ListBullet"/>
        <w:spacing w:after="80"/>
      </w:pPr>
      <w:r>
        <w:rPr>
          <w:b/>
          <w:color w:val="1F3664"/>
          <w:sz w:val="20"/>
        </w:rPr>
        <w:t xml:space="preserve">ACCC $15M Emma Sleep ruling — compliance audit mandatory: </w:t>
      </w:r>
      <w:r>
        <w:rPr>
          <w:color w:val="404040"/>
          <w:sz w:val="20"/>
        </w:rPr>
        <w:t>Federal Court ruled Emma Sleep's countdown timers and strikethrough pricing were a 'deliberate marketing strategy.' Snooze must audit all active digital promotional mechanics immediately. Non-compliance risk is real and enforcement is active.</w:t>
      </w:r>
    </w:p>
    <w:p>
      <w:pPr>
        <w:pStyle w:val="ListBullet"/>
        <w:spacing w:after="80"/>
      </w:pPr>
      <w:r>
        <w:rPr>
          <w:b/>
          <w:color w:val="1F3664"/>
          <w:sz w:val="20"/>
        </w:rPr>
        <w:t xml:space="preserve">Two-front promotional battle active now: </w:t>
      </w:r>
      <w:r>
        <w:rPr>
          <w:color w:val="404040"/>
          <w:sz w:val="20"/>
        </w:rPr>
        <w:t>Forty Winks 'Forty Frenzy' (up to 50% off mattresses) and Harvey Norman May catalogue are running simultaneously. DTC brands (Koala, Sleeping Duck, Ecosa) are pre-staging EOFY discounts. Margin discipline is the critical lever.</w:t>
      </w:r>
    </w:p>
    <w:p>
      <w:pPr>
        <w:pStyle w:val="ListBullet"/>
        <w:spacing w:after="80"/>
      </w:pPr>
      <w:r>
        <w:rPr>
          <w:b/>
          <w:color w:val="1F3664"/>
          <w:sz w:val="20"/>
        </w:rPr>
        <w:t xml:space="preserve">Margin floor check before 14 May — non-negotiable: </w:t>
      </w:r>
      <w:r>
        <w:rPr>
          <w:color w:val="404040"/>
          <w:sz w:val="20"/>
        </w:rPr>
        <w:t>Foam costs up ~20% and ocean freight surcharges $400-900/40ft. Adairs lost 170bps gross margin from equivalent promotional posture in H1 2026. Any promotion launched without an updated COGS check risks trading at negative margin.</w:t>
      </w:r>
    </w:p>
    <w:p>
      <w:pPr>
        <w:pStyle w:val="ListBullet"/>
        <w:spacing w:after="80"/>
      </w:pPr>
      <w:r>
        <w:rPr>
          <w:b/>
          <w:color w:val="1F3664"/>
          <w:sz w:val="20"/>
        </w:rPr>
        <w:t xml:space="preserve">Promotional gap opens 15-31 May: </w:t>
      </w:r>
      <w:r>
        <w:rPr>
          <w:color w:val="404040"/>
          <w:sz w:val="20"/>
        </w:rPr>
        <w:t>Competitors wind down between 14-25 May. A service-led, non-discount activation (CRM-based, in-store consultation) can capture motivated buyers without margin compression before EOFY begins.</w:t>
      </w:r>
    </w:p>
    <w:p>
      <w:pPr>
        <w:pStyle w:val="ListBullet"/>
        <w:spacing w:after="80"/>
      </w:pPr>
      <w:r>
        <w:rPr>
          <w:b/>
          <w:color w:val="1F3664"/>
          <w:sz w:val="20"/>
        </w:rPr>
        <w:t xml:space="preserve">PE capital restructuring competitive landscape: </w:t>
      </w:r>
      <w:r>
        <w:rPr>
          <w:color w:val="404040"/>
          <w:sz w:val="20"/>
        </w:rPr>
        <w:t>Allegro Funds acquired Fantastic Furniture (86 stores, AUD $563.5M revenue) on 4 May. Amart+Freedom merger (Aug 2025) created a ~120-store entity. Both PE-backed with active investment horizons. Store overlap analysis is required.</w:t>
      </w:r>
    </w:p>
    <w:p/>
    <w:p>
      <w:pPr>
        <w:pStyle w:val="Heading1"/>
      </w:pPr>
      <w:r>
        <w:rPr>
          <w:b/>
          <w:color w:val="1F3664"/>
          <w:sz w:val="32"/>
        </w:rPr>
        <w:t>2. Macro and Market Context</w:t>
      </w:r>
    </w:p>
    <w:p>
      <w:pPr>
        <w:pStyle w:val="Heading2"/>
      </w:pPr>
      <w:r>
        <w:rPr>
          <w:b/>
          <w:color w:val="2E74B5"/>
          <w:sz w:val="26"/>
        </w:rPr>
        <w:t>Interest Rates</w:t>
      </w:r>
    </w:p>
    <w:p>
      <w:pPr>
        <w:spacing w:after="120"/>
      </w:pPr>
      <w:r>
        <w:rPr>
          <w:b w:val="0"/>
          <w:i w:val="0"/>
          <w:color w:val="404040"/>
          <w:sz w:val="20"/>
        </w:rPr>
        <w:t>RBA raised the cash rate to 4.35% on 5 May 2026 — the third consecutive increase. CBA economists expect rates to hold for the remainder of 2026 but leave the door open to further hikes. This is a direct headwind to housing-linked discretionary spending and to consumer willingness to finance large purchases.</w:t>
      </w:r>
    </w:p>
    <w:p>
      <w:pPr>
        <w:pStyle w:val="ListBullet"/>
        <w:spacing w:after="80"/>
      </w:pPr>
      <w:r>
        <w:rPr>
          <w:b/>
          <w:color w:val="1F3664"/>
          <w:sz w:val="20"/>
        </w:rPr>
        <w:t xml:space="preserve">Source: </w:t>
      </w:r>
      <w:r>
        <w:rPr>
          <w:color w:val="404040"/>
          <w:sz w:val="20"/>
        </w:rPr>
        <w:t>Source: RBA Media Release mr-26-12, 5 May 2026</w:t>
      </w:r>
    </w:p>
    <w:p>
      <w:pPr>
        <w:pStyle w:val="ListBullet"/>
        <w:spacing w:after="80"/>
      </w:pPr>
      <w:r>
        <w:rPr>
          <w:b/>
          <w:color w:val="1F3664"/>
          <w:sz w:val="20"/>
        </w:rPr>
        <w:t xml:space="preserve">GM implication: </w:t>
      </w:r>
      <w:r>
        <w:rPr>
          <w:color w:val="404040"/>
          <w:sz w:val="20"/>
        </w:rPr>
        <w:t>Review any in-store finance or BNPL offer messaging to ensure it addresses the cash-flow sensitivity of rate-stressed households.</w:t>
      </w:r>
    </w:p>
    <w:p>
      <w:pPr>
        <w:pStyle w:val="Heading2"/>
      </w:pPr>
      <w:r>
        <w:rPr>
          <w:b/>
          <w:color w:val="2E74B5"/>
          <w:sz w:val="26"/>
        </w:rPr>
        <w:t>Consumer Confidence</w:t>
      </w:r>
    </w:p>
    <w:p>
      <w:pPr>
        <w:spacing w:after="120"/>
      </w:pPr>
      <w:r>
        <w:rPr>
          <w:b w:val="0"/>
          <w:i w:val="0"/>
          <w:color w:val="404040"/>
          <w:sz w:val="20"/>
        </w:rPr>
        <w:t>ANZ-Roy Morgan Consumer Confidence Index: 67.2 as of 5 May 2026. This is near historic lows. Only 15% of Australians consider now a good time to buy major household goods. Pessimistic 5-year economic expectations rose 2 percentage points to 31%. Foot traffic and conversion assumptions built on pre-2025 benchmarks should be revised downward.</w:t>
      </w:r>
    </w:p>
    <w:p>
      <w:pPr>
        <w:pStyle w:val="ListBullet"/>
        <w:spacing w:after="80"/>
      </w:pPr>
      <w:r>
        <w:rPr>
          <w:b/>
          <w:color w:val="1F3664"/>
          <w:sz w:val="20"/>
        </w:rPr>
        <w:t xml:space="preserve">Source: </w:t>
      </w:r>
      <w:r>
        <w:rPr>
          <w:color w:val="404040"/>
          <w:sz w:val="20"/>
        </w:rPr>
        <w:t>Source: Roy Morgan/ANZ, 5 May 2026</w:t>
      </w:r>
    </w:p>
    <w:p>
      <w:pPr>
        <w:pStyle w:val="Heading2"/>
      </w:pPr>
      <w:r>
        <w:rPr>
          <w:b/>
          <w:color w:val="2E74B5"/>
          <w:sz w:val="26"/>
        </w:rPr>
        <w:t>Household Spending Indicator</w:t>
      </w:r>
    </w:p>
    <w:p>
      <w:pPr>
        <w:spacing w:after="120"/>
      </w:pPr>
      <w:r>
        <w:rPr>
          <w:b w:val="0"/>
          <w:i w:val="0"/>
          <w:color w:val="404040"/>
          <w:sz w:val="20"/>
        </w:rPr>
        <w:t>ABS Monthly Household Spending Indicator recorded Furnishings and Household Equipment +1.6% MoM in March 2026 (seasonally adjusted, current prices). Treat this figure with caution: it is nominal only and real volume growth is unconfirmed.</w:t>
      </w:r>
    </w:p>
    <w:p>
      <w:pPr>
        <w:pStyle w:val="ListBullet"/>
        <w:spacing w:after="80"/>
      </w:pPr>
      <w:r>
        <w:rPr>
          <w:b/>
          <w:color w:val="1F3664"/>
          <w:sz w:val="20"/>
        </w:rPr>
        <w:t xml:space="preserve">Review Flag: </w:t>
      </w:r>
      <w:r>
        <w:rPr>
          <w:color w:val="404040"/>
          <w:sz w:val="20"/>
        </w:rPr>
        <w:t>Nominal vs real volume unconfirmed. Do not use in GM presentations or board papers without ABS clarification.</w:t>
      </w:r>
      <w:r>
        <w:rPr>
          <w:b/>
          <w:color w:val="C55000"/>
          <w:sz w:val="18"/>
        </w:rPr>
        <w:t xml:space="preserve">  [REVIEW FLAG]</w:t>
      </w:r>
    </w:p>
    <w:p>
      <w:pPr>
        <w:pStyle w:val="ListBullet"/>
        <w:spacing w:after="80"/>
      </w:pPr>
      <w:r>
        <w:rPr>
          <w:b/>
          <w:color w:val="1F3664"/>
          <w:sz w:val="20"/>
        </w:rPr>
        <w:t xml:space="preserve">Source: </w:t>
      </w:r>
      <w:r>
        <w:rPr>
          <w:color w:val="404040"/>
          <w:sz w:val="20"/>
        </w:rPr>
        <w:t>Source: ABS MHSI March 2026</w:t>
      </w:r>
    </w:p>
    <w:p>
      <w:pPr>
        <w:pStyle w:val="Heading2"/>
      </w:pPr>
      <w:r>
        <w:rPr>
          <w:b/>
          <w:color w:val="2E74B5"/>
          <w:sz w:val="26"/>
        </w:rPr>
        <w:t>Housing Turnover</w:t>
      </w:r>
    </w:p>
    <w:p>
      <w:pPr>
        <w:spacing w:after="120"/>
      </w:pPr>
      <w:r>
        <w:rPr>
          <w:b w:val="0"/>
          <w:i w:val="0"/>
          <w:color w:val="404040"/>
          <w:sz w:val="20"/>
        </w:rPr>
        <w:t>Approximately 559,457 residential sales recorded YTD 2026, down 1.9% YoY but 5.6% above the 5-year average. The market is two-speed: Perth and Queensland remain strong; Sydney and Melbourne are softening. Median dwelling value AUD $922,838 (+9.9% YoY). This bifurcation should inform franchise expansion prioritisation and stock positioning by corridor.</w:t>
      </w:r>
    </w:p>
    <w:p>
      <w:pPr>
        <w:pStyle w:val="ListBullet"/>
        <w:spacing w:after="80"/>
      </w:pPr>
      <w:r>
        <w:rPr>
          <w:b/>
          <w:color w:val="1F3664"/>
          <w:sz w:val="20"/>
        </w:rPr>
        <w:t xml:space="preserve">Source: </w:t>
      </w:r>
      <w:r>
        <w:rPr>
          <w:color w:val="404040"/>
          <w:sz w:val="20"/>
        </w:rPr>
        <w:t>Source: Cotality April 2026</w:t>
      </w:r>
    </w:p>
    <w:p/>
    <w:p>
      <w:pPr>
        <w:pStyle w:val="Heading1"/>
      </w:pPr>
      <w:r>
        <w:rPr>
          <w:b/>
          <w:color w:val="1F3664"/>
          <w:sz w:val="32"/>
        </w:rPr>
        <w:t>3. Sector Events</w:t>
      </w:r>
    </w:p>
    <w:p>
      <w:pPr>
        <w:pStyle w:val="Heading2"/>
      </w:pPr>
      <w:r>
        <w:rPr>
          <w:b/>
          <w:color w:val="2E74B5"/>
          <w:sz w:val="26"/>
        </w:rPr>
        <w:t>A.H. Beard — Voluntary Administration</w:t>
      </w:r>
    </w:p>
    <w:p>
      <w:pPr>
        <w:spacing w:after="120"/>
      </w:pPr>
      <w:r>
        <w:rPr>
          <w:b w:val="0"/>
          <w:i w:val="0"/>
          <w:color w:val="404040"/>
          <w:sz w:val="20"/>
        </w:rPr>
        <w:t>A.H. Beard — Australia's largest domestic mattress manufacturer (126 years operating) — entered voluntary administration in late April 2026. Administrators P.A. Lucas &amp; Co. confirm trading continues. Retail partners currently affected: Harvey Norman, Forty Winks, Domayne. No buyer has been named.</w:t>
      </w:r>
    </w:p>
    <w:p>
      <w:pPr>
        <w:spacing w:after="120"/>
      </w:pPr>
      <w:r>
        <w:rPr>
          <w:b w:val="0"/>
          <w:i w:val="0"/>
          <w:color w:val="404040"/>
          <w:sz w:val="20"/>
        </w:rPr>
        <w:t>Why this matters operationally:</w:t>
      </w:r>
    </w:p>
    <w:p>
      <w:pPr>
        <w:pStyle w:val="ListBullet"/>
        <w:spacing w:after="80"/>
      </w:pPr>
      <w:r>
        <w:rPr>
          <w:color w:val="404040"/>
          <w:sz w:val="20"/>
        </w:rPr>
        <w:t>Retail partners (especially Forty Winks) may face stock replenishment uncertainty, creating short-term range gaps Snooze can exploit in conversations with in-store staff and customers.</w:t>
      </w:r>
    </w:p>
    <w:p>
      <w:pPr>
        <w:pStyle w:val="ListBullet"/>
        <w:spacing w:after="80"/>
      </w:pPr>
      <w:r>
        <w:rPr>
          <w:color w:val="404040"/>
          <w:sz w:val="20"/>
        </w:rPr>
        <w:t>Competitor buyers (Harvey Norman, Nick Scali, Temple and Webster) may attempt to acquire A.H. Beard assets or contracts. Snooze/LKG should monitor for any exclusivity announcements.</w:t>
      </w:r>
    </w:p>
    <w:p>
      <w:pPr>
        <w:pStyle w:val="ListBullet"/>
        <w:spacing w:after="80"/>
      </w:pPr>
      <w:r>
        <w:rPr>
          <w:color w:val="404040"/>
          <w:sz w:val="20"/>
        </w:rPr>
        <w:t>If Snooze or G&amp;G has any A.H. Beard supply relationship, confirm continuity with administrators within 48 hours.</w:t>
      </w:r>
    </w:p>
    <w:p>
      <w:pPr>
        <w:spacing w:before="80" w:after="80"/>
        <w:ind w:left="288"/>
      </w:pPr>
      <w:r>
        <w:rPr>
          <w:b/>
          <w:color w:val="C00000"/>
          <w:sz w:val="20"/>
        </w:rPr>
        <w:t xml:space="preserve">Action Required: </w:t>
      </w:r>
      <w:r>
        <w:rPr>
          <w:color w:val="404040"/>
          <w:sz w:val="20"/>
        </w:rPr>
        <w:t>Commercial team to confirm LKG supply chain exposure within 48 hours. Monitor for buyer announcement. Assess range gap opportunity in affected retailer catchments.</w:t>
      </w:r>
    </w:p>
    <w:p>
      <w:pPr>
        <w:spacing w:before="80" w:after="80"/>
        <w:pBdr>
          <w:bottom w:val="single" w:sz="6" w:space="1" w:color="2E74B5"/>
        </w:pBdr>
      </w:pPr>
    </w:p>
    <w:p>
      <w:pPr>
        <w:pStyle w:val="Heading2"/>
      </w:pPr>
      <w:r>
        <w:rPr>
          <w:b/>
          <w:color w:val="2E74B5"/>
          <w:sz w:val="26"/>
        </w:rPr>
        <w:t>ACCC — Emma Sleep $15M Penalty</w:t>
      </w:r>
    </w:p>
    <w:p>
      <w:pPr>
        <w:spacing w:after="120"/>
      </w:pPr>
      <w:r>
        <w:rPr>
          <w:b w:val="0"/>
          <w:i w:val="0"/>
          <w:color w:val="404040"/>
          <w:sz w:val="20"/>
        </w:rPr>
        <w:t>The Federal Court ruled on 24 April 2026 that Emma Sleep's countdown timers and strikethrough pricing across 74 products constituted a 'deliberate marketing strategy' of misleading conduct. Over 4 million consumers received misleading emails; 500,000 received misleading SMS. ACCC penalty: AUD $15 million.</w:t>
      </w:r>
    </w:p>
    <w:p>
      <w:pPr>
        <w:spacing w:after="120"/>
      </w:pPr>
      <w:r>
        <w:rPr>
          <w:b w:val="0"/>
          <w:i w:val="0"/>
          <w:color w:val="404040"/>
          <w:sz w:val="20"/>
        </w:rPr>
        <w:t>Why this matters operationally:</w:t>
      </w:r>
    </w:p>
    <w:p>
      <w:pPr>
        <w:pStyle w:val="ListBullet"/>
        <w:spacing w:after="80"/>
      </w:pPr>
      <w:r>
        <w:rPr>
          <w:color w:val="404040"/>
          <w:sz w:val="20"/>
        </w:rPr>
        <w:t>This is the enforcement action the ACCC has been signalling since its 2024 online pricing review. DTC mattress brands are now on notice.</w:t>
      </w:r>
    </w:p>
    <w:p>
      <w:pPr>
        <w:pStyle w:val="ListBullet"/>
        <w:spacing w:after="80"/>
      </w:pPr>
      <w:r>
        <w:rPr>
          <w:color w:val="404040"/>
          <w:sz w:val="20"/>
        </w:rPr>
        <w:t>Snooze operates countdown timers, flash sale mechanics, and strikethrough pricing across its e-commerce and email channels. These must be audited against the Federal Court's specific findings before the next promotional campaign.</w:t>
      </w:r>
    </w:p>
    <w:p>
      <w:pPr>
        <w:pStyle w:val="ListBullet"/>
        <w:spacing w:after="80"/>
      </w:pPr>
      <w:r>
        <w:rPr>
          <w:color w:val="404040"/>
          <w:sz w:val="20"/>
        </w:rPr>
        <w:t>Opportunity: position Snooze as the transparent, compliant alternative to DTC brands. 'Genuine advice, genuine prices' positioning is available and defensible.</w:t>
      </w:r>
    </w:p>
    <w:p>
      <w:pPr>
        <w:spacing w:before="80" w:after="80"/>
        <w:ind w:left="288"/>
      </w:pPr>
      <w:r>
        <w:rPr>
          <w:b/>
          <w:color w:val="C00000"/>
          <w:sz w:val="20"/>
        </w:rPr>
        <w:t xml:space="preserve">Action Required: </w:t>
      </w:r>
      <w:r>
        <w:rPr>
          <w:color w:val="404040"/>
          <w:sz w:val="20"/>
        </w:rPr>
        <w:t>Legal/Compliance to audit all active Snooze digital promotional mechanics against Emma Sleep ruling criteria. Complete before 14 May. Flag any non-compliant mechanics to GM.</w:t>
      </w:r>
    </w:p>
    <w:p/>
    <w:p>
      <w:pPr>
        <w:pStyle w:val="Heading1"/>
      </w:pPr>
      <w:r>
        <w:rPr>
          <w:b/>
          <w:color w:val="1F3664"/>
          <w:sz w:val="32"/>
        </w:rPr>
        <w:t>4. Competitive Activity This Week</w:t>
      </w:r>
    </w:p>
    <w:p>
      <w:pPr>
        <w:pStyle w:val="Heading2"/>
      </w:pPr>
      <w:r>
        <w:rPr>
          <w:b/>
          <w:color w:val="2E74B5"/>
          <w:sz w:val="26"/>
        </w:rPr>
        <w:t>Active Promotions — Direct Competitors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1F3664"/>
          </w:tcPr>
          <w:p>
            <w:r/>
            <w:r>
              <w:rPr>
                <w:b/>
                <w:color w:val="FFFFFF"/>
                <w:sz w:val="18"/>
              </w:rPr>
              <w:t>Competitor</w:t>
            </w:r>
          </w:p>
        </w:tc>
        <w:tc>
          <w:tcPr>
            <w:tcW w:type="dxa" w:w="1881"/>
            <w:shd w:val="clear" w:color="auto" w:fill="1F3664"/>
          </w:tcPr>
          <w:p>
            <w:r/>
            <w:r>
              <w:rPr>
                <w:b/>
                <w:color w:val="FFFFFF"/>
                <w:sz w:val="18"/>
              </w:rPr>
              <w:t>Promotion</w:t>
            </w:r>
          </w:p>
        </w:tc>
        <w:tc>
          <w:tcPr>
            <w:tcW w:type="dxa" w:w="1881"/>
            <w:shd w:val="clear" w:color="auto" w:fill="1F3664"/>
          </w:tcPr>
          <w:p>
            <w:r/>
            <w:r>
              <w:rPr>
                <w:b/>
                <w:color w:val="FFFFFF"/>
                <w:sz w:val="18"/>
              </w:rPr>
              <w:t>Mechanics</w:t>
            </w:r>
          </w:p>
        </w:tc>
        <w:tc>
          <w:tcPr>
            <w:tcW w:type="dxa" w:w="1881"/>
            <w:shd w:val="clear" w:color="auto" w:fill="1F3664"/>
          </w:tcPr>
          <w:p>
            <w:r/>
            <w:r>
              <w:rPr>
                <w:b/>
                <w:color w:val="FFFFFF"/>
                <w:sz w:val="18"/>
              </w:rPr>
              <w:t>Confidence</w:t>
            </w:r>
          </w:p>
        </w:tc>
        <w:tc>
          <w:tcPr>
            <w:tcW w:type="dxa" w:w="1881"/>
            <w:shd w:val="clear" w:color="auto" w:fill="1F3664"/>
          </w:tcPr>
          <w:p>
            <w:r/>
            <w:r>
              <w:rPr>
                <w:b/>
                <w:color w:val="FFFFFF"/>
                <w:sz w:val="18"/>
              </w:rPr>
              <w:t>Snooze Implication</w:t>
            </w:r>
          </w:p>
        </w:tc>
      </w:tr>
      <w:tr>
        <w:tc>
          <w:tcPr>
            <w:tcW w:type="dxa" w:w="1881"/>
            <w:vAlign w:val="top"/>
          </w:tcPr>
          <w:p>
            <w:r>
              <w:rPr>
                <w:sz w:val="18"/>
              </w:rPr>
              <w:t>Forty Winks</w:t>
            </w:r>
          </w:p>
        </w:tc>
        <w:tc>
          <w:tcPr>
            <w:tcW w:type="dxa" w:w="1881"/>
            <w:vAlign w:val="top"/>
          </w:tcPr>
          <w:p>
            <w:r>
              <w:rPr>
                <w:sz w:val="18"/>
              </w:rPr>
              <w:t>Forty Frenzy</w:t>
            </w:r>
          </w:p>
        </w:tc>
        <w:tc>
          <w:tcPr>
            <w:tcW w:type="dxa" w:w="1881"/>
            <w:vAlign w:val="top"/>
          </w:tcPr>
          <w:p>
            <w:r>
              <w:rPr>
                <w:sz w:val="18"/>
              </w:rPr>
              <w:t>Up to 50% off mattresses, 30% off bedroom furniture. Using bedMATCH diagnostic as in-store conversion tool.</w:t>
            </w:r>
          </w:p>
        </w:tc>
        <w:tc>
          <w:tcPr>
            <w:tcW w:type="dxa" w:w="1881"/>
            <w:vAlign w:val="top"/>
          </w:tcPr>
          <w:p>
            <w:r>
              <w:rPr>
                <w:sz w:val="18"/>
              </w:rPr>
              <w:t>High</w:t>
            </w:r>
          </w:p>
        </w:tc>
        <w:tc>
          <w:tcPr>
            <w:tcW w:type="dxa" w:w="1881"/>
            <w:vAlign w:val="top"/>
          </w:tcPr>
          <w:p>
            <w:r>
              <w:rPr>
                <w:sz w:val="18"/>
              </w:rPr>
              <w:t>Direct Snooze competitor. Simultaneous with Harvey Norman. Margin pressure is two-fronted.</w:t>
            </w:r>
          </w:p>
        </w:tc>
      </w:tr>
      <w:tr>
        <w:tc>
          <w:tcPr>
            <w:tcW w:type="dxa" w:w="1881"/>
            <w:vAlign w:val="top"/>
          </w:tcPr>
          <w:p>
            <w:r>
              <w:rPr>
                <w:sz w:val="18"/>
              </w:rPr>
              <w:t>Harvey Norman</w:t>
            </w:r>
          </w:p>
        </w:tc>
        <w:tc>
          <w:tcPr>
            <w:tcW w:type="dxa" w:w="1881"/>
            <w:vAlign w:val="top"/>
          </w:tcPr>
          <w:p>
            <w:r>
              <w:rPr>
                <w:sz w:val="18"/>
              </w:rPr>
              <w:t>May 5-25 Catalogue</w:t>
            </w:r>
          </w:p>
        </w:tc>
        <w:tc>
          <w:tcPr>
            <w:tcW w:type="dxa" w:w="1881"/>
            <w:vAlign w:val="top"/>
          </w:tcPr>
          <w:p>
            <w:r>
              <w:rPr>
                <w:sz w:val="18"/>
              </w:rPr>
              <w:t>Bedroom and mattress promotions live. Share buyback extended (~$900M) signals financial confidence.</w:t>
            </w:r>
          </w:p>
        </w:tc>
        <w:tc>
          <w:tcPr>
            <w:tcW w:type="dxa" w:w="1881"/>
            <w:vAlign w:val="top"/>
          </w:tcPr>
          <w:p>
            <w:r>
              <w:rPr>
                <w:sz w:val="18"/>
              </w:rPr>
              <w:t>High</w:t>
            </w:r>
          </w:p>
        </w:tc>
        <w:tc>
          <w:tcPr>
            <w:tcW w:type="dxa" w:w="1881"/>
            <w:vAlign w:val="top"/>
          </w:tcPr>
          <w:p>
            <w:r>
              <w:rPr>
                <w:sz w:val="18"/>
              </w:rPr>
              <w:t>Largest floor space competitor. Buyback signals HVN is not in retreat.</w:t>
            </w:r>
          </w:p>
        </w:tc>
      </w:tr>
      <w:tr>
        <w:tc>
          <w:tcPr>
            <w:tcW w:type="dxa" w:w="1881"/>
            <w:vAlign w:val="top"/>
          </w:tcPr>
          <w:p>
            <w:r>
              <w:rPr>
                <w:sz w:val="18"/>
              </w:rPr>
              <w:t>Koala</w:t>
            </w:r>
          </w:p>
        </w:tc>
        <w:tc>
          <w:tcPr>
            <w:tcW w:type="dxa" w:w="1881"/>
            <w:vAlign w:val="top"/>
          </w:tcPr>
          <w:p>
            <w:r>
              <w:rPr>
                <w:sz w:val="18"/>
              </w:rPr>
              <w:t>EOFY Pre-Stage</w:t>
            </w:r>
          </w:p>
        </w:tc>
        <w:tc>
          <w:tcPr>
            <w:tcW w:type="dxa" w:w="1881"/>
            <w:vAlign w:val="top"/>
          </w:tcPr>
          <w:p>
            <w:r>
              <w:rPr>
                <w:sz w:val="18"/>
              </w:rPr>
              <w:t>Up to 30% off mattresses + 50% off duvet bundle + $50K Volvo/cash giveaway.</w:t>
            </w:r>
          </w:p>
        </w:tc>
        <w:tc>
          <w:tcPr>
            <w:tcW w:type="dxa" w:w="1881"/>
            <w:vAlign w:val="top"/>
          </w:tcPr>
          <w:p>
            <w:r>
              <w:rPr>
                <w:sz w:val="18"/>
              </w:rPr>
              <w:t>Medium-High</w:t>
            </w:r>
          </w:p>
        </w:tc>
        <w:tc>
          <w:tcPr>
            <w:tcW w:type="dxa" w:w="1881"/>
            <w:vAlign w:val="top"/>
          </w:tcPr>
          <w:p>
            <w:r>
              <w:rPr>
                <w:sz w:val="18"/>
              </w:rPr>
              <w:t>High coupon-aggregator discoverability. Motivated online buyers being captured.</w:t>
            </w:r>
          </w:p>
        </w:tc>
      </w:tr>
      <w:tr>
        <w:tc>
          <w:tcPr>
            <w:tcW w:type="dxa" w:w="1881"/>
            <w:vAlign w:val="top"/>
          </w:tcPr>
          <w:p>
            <w:r>
              <w:rPr>
                <w:sz w:val="18"/>
              </w:rPr>
              <w:t>Sleeping Duck</w:t>
            </w:r>
          </w:p>
        </w:tc>
        <w:tc>
          <w:tcPr>
            <w:tcW w:type="dxa" w:w="1881"/>
            <w:vAlign w:val="top"/>
          </w:tcPr>
          <w:p>
            <w:r>
              <w:rPr>
                <w:sz w:val="18"/>
              </w:rPr>
              <w:t>SLEEPSYSTEM2026</w:t>
            </w:r>
          </w:p>
        </w:tc>
        <w:tc>
          <w:tcPr>
            <w:tcW w:type="dxa" w:w="1881"/>
            <w:vAlign w:val="top"/>
          </w:tcPr>
          <w:p>
            <w:r>
              <w:rPr>
                <w:sz w:val="18"/>
              </w:rPr>
              <w:t>$350 off bed+mattress bundle via promo code.</w:t>
            </w:r>
          </w:p>
        </w:tc>
        <w:tc>
          <w:tcPr>
            <w:tcW w:type="dxa" w:w="1881"/>
            <w:vAlign w:val="top"/>
          </w:tcPr>
          <w:p>
            <w:r>
              <w:rPr>
                <w:color w:val="C55000"/>
                <w:sz w:val="18"/>
              </w:rPr>
              <w:t>Medium</w:t>
            </w:r>
          </w:p>
        </w:tc>
        <w:tc>
          <w:tcPr>
            <w:tcW w:type="dxa" w:w="1881"/>
            <w:vAlign w:val="top"/>
          </w:tcPr>
          <w:p>
            <w:r>
              <w:rPr>
                <w:sz w:val="18"/>
              </w:rPr>
              <w:t>Code sourced via aggregator — verify on sleepingduck.com before using in competitive response briefings.</w:t>
            </w:r>
          </w:p>
        </w:tc>
      </w:tr>
      <w:tr>
        <w:tc>
          <w:tcPr>
            <w:tcW w:type="dxa" w:w="1881"/>
            <w:vAlign w:val="top"/>
          </w:tcPr>
          <w:p>
            <w:r>
              <w:rPr>
                <w:sz w:val="18"/>
              </w:rPr>
              <w:t>Ecosa</w:t>
            </w:r>
          </w:p>
        </w:tc>
        <w:tc>
          <w:tcPr>
            <w:tcW w:type="dxa" w:w="1881"/>
            <w:vAlign w:val="top"/>
          </w:tcPr>
          <w:p>
            <w:r>
              <w:rPr>
                <w:sz w:val="18"/>
              </w:rPr>
              <w:t>Kids EOFY Pre-Stage</w:t>
            </w:r>
          </w:p>
        </w:tc>
        <w:tc>
          <w:tcPr>
            <w:tcW w:type="dxa" w:w="1881"/>
            <w:vAlign w:val="top"/>
          </w:tcPr>
          <w:p>
            <w:r>
              <w:rPr>
                <w:sz w:val="18"/>
              </w:rPr>
              <w:t>30-35% off kids' mattresses and toppers.</w:t>
            </w:r>
          </w:p>
        </w:tc>
        <w:tc>
          <w:tcPr>
            <w:tcW w:type="dxa" w:w="1881"/>
            <w:vAlign w:val="top"/>
          </w:tcPr>
          <w:p>
            <w:r>
              <w:rPr>
                <w:color w:val="C55000"/>
                <w:sz w:val="18"/>
              </w:rPr>
              <w:t>Medium</w:t>
            </w:r>
          </w:p>
        </w:tc>
        <w:tc>
          <w:tcPr>
            <w:tcW w:type="dxa" w:w="1881"/>
            <w:vAlign w:val="top"/>
          </w:tcPr>
          <w:p>
            <w:r>
              <w:rPr>
                <w:sz w:val="18"/>
              </w:rPr>
              <w:t>Kids category signal — assess Future Sleep range alignment.</w:t>
            </w:r>
          </w:p>
        </w:tc>
      </w:tr>
      <w:tr>
        <w:tc>
          <w:tcPr>
            <w:tcW w:type="dxa" w:w="1881"/>
            <w:vAlign w:val="top"/>
          </w:tcPr>
          <w:p>
            <w:r>
              <w:rPr>
                <w:sz w:val="18"/>
              </w:rPr>
              <w:t>Fantastic Furniture</w:t>
            </w:r>
          </w:p>
        </w:tc>
        <w:tc>
          <w:tcPr>
            <w:tcW w:type="dxa" w:w="1881"/>
            <w:vAlign w:val="top"/>
          </w:tcPr>
          <w:p>
            <w:r>
              <w:rPr>
                <w:sz w:val="18"/>
              </w:rPr>
              <w:t>Autumn Sale</w:t>
            </w:r>
          </w:p>
        </w:tc>
        <w:tc>
          <w:tcPr>
            <w:tcW w:type="dxa" w:w="1881"/>
            <w:vAlign w:val="top"/>
          </w:tcPr>
          <w:p>
            <w:r>
              <w:rPr>
                <w:sz w:val="18"/>
              </w:rPr>
              <w:t>15-30% off bedroom packages.</w:t>
            </w:r>
          </w:p>
        </w:tc>
        <w:tc>
          <w:tcPr>
            <w:tcW w:type="dxa" w:w="1881"/>
            <w:vAlign w:val="top"/>
          </w:tcPr>
          <w:p>
            <w:r>
              <w:rPr>
                <w:color w:val="C55000"/>
                <w:sz w:val="18"/>
              </w:rPr>
              <w:t>Medium</w:t>
            </w:r>
          </w:p>
        </w:tc>
        <w:tc>
          <w:tcPr>
            <w:tcW w:type="dxa" w:w="1881"/>
            <w:vAlign w:val="top"/>
          </w:tcPr>
          <w:p>
            <w:r>
              <w:rPr>
                <w:sz w:val="18"/>
              </w:rPr>
              <w:t>Now Allegro-owned. New PE capital may intensify pricing. Watch for strategy shift post-acquisition.</w:t>
            </w:r>
          </w:p>
        </w:tc>
      </w:tr>
      <w:tr>
        <w:tc>
          <w:tcPr>
            <w:tcW w:type="dxa" w:w="1881"/>
            <w:vAlign w:val="top"/>
          </w:tcPr>
          <w:p>
            <w:r>
              <w:rPr>
                <w:sz w:val="18"/>
              </w:rPr>
              <w:t>IKEA AU</w:t>
            </w:r>
          </w:p>
        </w:tc>
        <w:tc>
          <w:tcPr>
            <w:tcW w:type="dxa" w:w="1881"/>
            <w:vAlign w:val="top"/>
          </w:tcPr>
          <w:p>
            <w:r>
              <w:rPr>
                <w:sz w:val="18"/>
              </w:rPr>
              <w:t>PS 2026 Launch</w:t>
            </w:r>
          </w:p>
        </w:tc>
        <w:tc>
          <w:tcPr>
            <w:tcW w:type="dxa" w:w="1881"/>
            <w:vAlign w:val="top"/>
          </w:tcPr>
          <w:p>
            <w:r>
              <w:rPr>
                <w:sz w:val="18"/>
              </w:rPr>
              <w:t>Launching 14 May. IKEA Family early access from ~9 May.</w:t>
            </w:r>
          </w:p>
        </w:tc>
        <w:tc>
          <w:tcPr>
            <w:tcW w:type="dxa" w:w="1881"/>
            <w:vAlign w:val="top"/>
          </w:tcPr>
          <w:p>
            <w:r>
              <w:rPr>
                <w:sz w:val="18"/>
              </w:rPr>
              <w:t>High</w:t>
            </w:r>
          </w:p>
        </w:tc>
        <w:tc>
          <w:tcPr>
            <w:tcW w:type="dxa" w:w="1881"/>
            <w:vAlign w:val="top"/>
          </w:tcPr>
          <w:p>
            <w:r>
              <w:rPr>
                <w:sz w:val="18"/>
              </w:rPr>
              <w:t>Mid-month launch will reset consumer attention. Snooze activation before 14 May advantageous.</w:t>
            </w:r>
          </w:p>
        </w:tc>
      </w:tr>
    </w:tbl>
    <w:p/>
    <w:p>
      <w:pPr>
        <w:pStyle w:val="Heading2"/>
      </w:pPr>
      <w:r>
        <w:rPr>
          <w:b/>
          <w:color w:val="2E74B5"/>
          <w:sz w:val="26"/>
        </w:rPr>
        <w:t>Strategic Competitor Moves</w:t>
      </w:r>
    </w:p>
    <w:p>
      <w:pPr>
        <w:pStyle w:val="ListBullet"/>
        <w:spacing w:after="80"/>
      </w:pPr>
      <w:r>
        <w:rPr>
          <w:b/>
          <w:color w:val="1F3664"/>
          <w:sz w:val="20"/>
        </w:rPr>
        <w:t xml:space="preserve">Nick Scali (NCK): </w:t>
      </w:r>
      <w:r>
        <w:rPr>
          <w:color w:val="404040"/>
          <w:sz w:val="20"/>
        </w:rPr>
        <w:t>Nick Scali H1 FY26: ANZ revenue +13.1%, NPAT +29%, record share price. Planning 5 new stores in FY26; NZ potentially doubling to 13 stores. Nick Scali is the benchmark for margin-disciplined growth in this environment.</w:t>
      </w:r>
    </w:p>
    <w:p>
      <w:pPr>
        <w:pStyle w:val="ListBullet"/>
        <w:spacing w:after="80"/>
      </w:pPr>
      <w:r>
        <w:rPr>
          <w:b/>
          <w:color w:val="1F3664"/>
          <w:sz w:val="20"/>
        </w:rPr>
        <w:t xml:space="preserve">Fantastic Furniture acquisition: </w:t>
      </w:r>
      <w:r>
        <w:rPr>
          <w:color w:val="404040"/>
          <w:sz w:val="20"/>
        </w:rPr>
        <w:t>Allegro Funds acquired Fantastic Furniture (86 stores, AUD $563.5M revenue) on 4 May 2026. PE-backed with 12-36 month investment horizon. Store overlap analysis with Snooze and G&amp;G catchments is required.</w:t>
      </w:r>
    </w:p>
    <w:p>
      <w:pPr>
        <w:pStyle w:val="ListBullet"/>
        <w:spacing w:after="80"/>
      </w:pPr>
      <w:r>
        <w:rPr>
          <w:b/>
          <w:color w:val="1F3664"/>
          <w:sz w:val="20"/>
        </w:rPr>
        <w:t xml:space="preserve">Amart + Freedom: </w:t>
      </w:r>
      <w:r>
        <w:rPr>
          <w:color w:val="404040"/>
          <w:sz w:val="20"/>
        </w:rPr>
        <w:t>Combined Amart+Freedom entity (~126 stores, projected AUD $1B+ revenue — unverified) is eyeing a potential ASX IPO in 2026. Quadrant PE-backed. If IPO proceeds, this group will have access to public capital markets for further expansion.</w:t>
      </w:r>
    </w:p>
    <w:p>
      <w:pPr>
        <w:pStyle w:val="ListBullet"/>
        <w:spacing w:after="80"/>
      </w:pPr>
      <w:r>
        <w:rPr>
          <w:b/>
          <w:color w:val="1F3664"/>
          <w:sz w:val="20"/>
        </w:rPr>
        <w:t xml:space="preserve">Review Flag: </w:t>
      </w:r>
      <w:r>
        <w:rPr>
          <w:color w:val="404040"/>
          <w:sz w:val="20"/>
        </w:rPr>
        <w:t>IPO revenue figure of $1B+ is unverified. Do not use in board materials without independent confirmation.</w:t>
      </w:r>
      <w:r>
        <w:rPr>
          <w:b/>
          <w:color w:val="C55000"/>
          <w:sz w:val="18"/>
        </w:rPr>
        <w:t xml:space="preserve">  [REVIEW FLAG]</w:t>
      </w:r>
    </w:p>
    <w:p/>
    <w:p>
      <w:pPr>
        <w:pStyle w:val="Heading1"/>
      </w:pPr>
      <w:r>
        <w:rPr>
          <w:b/>
          <w:color w:val="1F3664"/>
          <w:sz w:val="32"/>
        </w:rPr>
        <w:t>5. Peer Performance Signals</w:t>
      </w:r>
    </w:p>
    <w:p>
      <w:pPr>
        <w:spacing w:after="120"/>
      </w:pPr>
      <w:r>
        <w:rPr>
          <w:b w:val="0"/>
          <w:i w:val="0"/>
          <w:color w:val="404040"/>
          <w:sz w:val="20"/>
        </w:rPr>
        <w:t>The most important comparative signal this period is Nick Scali vs Adairs — two companies in the same consumer environment with opposite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664"/>
          </w:tcPr>
          <w:p>
            <w:r/>
            <w:r>
              <w:rPr>
                <w:b/>
                <w:color w:val="FFFFFF"/>
                <w:sz w:val="18"/>
              </w:rPr>
              <w:t>Company</w:t>
            </w:r>
          </w:p>
        </w:tc>
        <w:tc>
          <w:tcPr>
            <w:tcW w:type="dxa" w:w="2351"/>
            <w:shd w:val="clear" w:color="auto" w:fill="1F3664"/>
          </w:tcPr>
          <w:p>
            <w:r/>
            <w:r>
              <w:rPr>
                <w:b/>
                <w:color w:val="FFFFFF"/>
                <w:sz w:val="18"/>
              </w:rPr>
              <w:t>Revenue</w:t>
            </w:r>
          </w:p>
        </w:tc>
        <w:tc>
          <w:tcPr>
            <w:tcW w:type="dxa" w:w="2351"/>
            <w:shd w:val="clear" w:color="auto" w:fill="1F3664"/>
          </w:tcPr>
          <w:p>
            <w:r/>
            <w:r>
              <w:rPr>
                <w:b/>
                <w:color w:val="FFFFFF"/>
                <w:sz w:val="18"/>
              </w:rPr>
              <w:t>NPAT</w:t>
            </w:r>
          </w:p>
        </w:tc>
        <w:tc>
          <w:tcPr>
            <w:tcW w:type="dxa" w:w="2351"/>
            <w:shd w:val="clear" w:color="auto" w:fill="1F3664"/>
          </w:tcPr>
          <w:p>
            <w:r/>
            <w:r>
              <w:rPr>
                <w:b/>
                <w:color w:val="FFFFFF"/>
                <w:sz w:val="18"/>
              </w:rPr>
              <w:t>Gross Margin</w:t>
            </w:r>
          </w:p>
        </w:tc>
      </w:tr>
      <w:tr>
        <w:tc>
          <w:tcPr>
            <w:tcW w:type="dxa" w:w="2351"/>
          </w:tcPr>
          <w:p>
            <w:r>
              <w:rPr>
                <w:sz w:val="18"/>
              </w:rPr>
              <w:t>Nick Scali (NCK)</w:t>
            </w:r>
          </w:p>
        </w:tc>
        <w:tc>
          <w:tcPr>
            <w:tcW w:type="dxa" w:w="2351"/>
          </w:tcPr>
          <w:p>
            <w:r>
              <w:rPr>
                <w:sz w:val="18"/>
              </w:rPr>
              <w:t>+13.1% ANZ</w:t>
            </w:r>
          </w:p>
        </w:tc>
        <w:tc>
          <w:tcPr>
            <w:tcW w:type="dxa" w:w="2351"/>
          </w:tcPr>
          <w:p>
            <w:r>
              <w:rPr>
                <w:sz w:val="18"/>
              </w:rPr>
              <w:t>+29% to undisclosed</w:t>
            </w:r>
          </w:p>
        </w:tc>
        <w:tc>
          <w:tcPr>
            <w:tcW w:type="dxa" w:w="2351"/>
          </w:tcPr>
          <w:p>
            <w:r>
              <w:rPr>
                <w:sz w:val="18"/>
              </w:rPr>
              <w:t>Disciplined — no excessive promotional clearance</w:t>
            </w:r>
          </w:p>
        </w:tc>
      </w:tr>
      <w:tr>
        <w:tc>
          <w:tcPr>
            <w:tcW w:type="dxa" w:w="2351"/>
          </w:tcPr>
          <w:p>
            <w:r>
              <w:rPr>
                <w:sz w:val="18"/>
              </w:rPr>
              <w:t>Adairs (ADH)</w:t>
            </w:r>
          </w:p>
        </w:tc>
        <w:tc>
          <w:tcPr>
            <w:tcW w:type="dxa" w:w="2351"/>
          </w:tcPr>
          <w:p>
            <w:r>
              <w:rPr>
                <w:sz w:val="18"/>
              </w:rPr>
              <w:t>+5.9% to AUD $329M</w:t>
            </w:r>
          </w:p>
        </w:tc>
        <w:tc>
          <w:tcPr>
            <w:tcW w:type="dxa" w:w="2351"/>
          </w:tcPr>
          <w:p>
            <w:r>
              <w:rPr>
                <w:sz w:val="18"/>
              </w:rPr>
              <w:t>-34% to AUD $12.8M</w:t>
            </w:r>
          </w:p>
        </w:tc>
        <w:tc>
          <w:tcPr>
            <w:tcW w:type="dxa" w:w="2351"/>
          </w:tcPr>
          <w:p>
            <w:r>
              <w:rPr>
                <w:sz w:val="18"/>
              </w:rPr>
              <w:t>-170bps to 17.7% (Black Friday / Christmas clearance)</w:t>
            </w:r>
          </w:p>
        </w:tc>
      </w:tr>
      <w:tr>
        <w:tc>
          <w:tcPr>
            <w:tcW w:type="dxa" w:w="2351"/>
          </w:tcPr>
          <w:p>
            <w:r>
              <w:rPr>
                <w:sz w:val="18"/>
              </w:rPr>
              <w:t>Harvey Norman (HVN)</w:t>
            </w:r>
          </w:p>
        </w:tc>
        <w:tc>
          <w:tcPr>
            <w:tcW w:type="dxa" w:w="2351"/>
          </w:tcPr>
          <w:p>
            <w:r>
              <w:rPr>
                <w:sz w:val="18"/>
              </w:rPr>
              <w:t>+4.8% AU franchisee</w:t>
            </w:r>
          </w:p>
        </w:tc>
        <w:tc>
          <w:tcPr>
            <w:tcW w:type="dxa" w:w="2351"/>
          </w:tcPr>
          <w:p>
            <w:r>
              <w:rPr>
                <w:sz w:val="18"/>
              </w:rPr>
              <w:t>+15.2% to AUD $321.9M</w:t>
            </w:r>
          </w:p>
        </w:tc>
        <w:tc>
          <w:tcPr>
            <w:tcW w:type="dxa" w:w="2351"/>
          </w:tcPr>
          <w:p>
            <w:r>
              <w:rPr>
                <w:sz w:val="18"/>
              </w:rPr>
              <w:t>Stable — property income buffer</w:t>
            </w:r>
          </w:p>
        </w:tc>
      </w:tr>
      <w:tr>
        <w:tc>
          <w:tcPr>
            <w:tcW w:type="dxa" w:w="2351"/>
          </w:tcPr>
          <w:p>
            <w:r>
              <w:rPr>
                <w:sz w:val="18"/>
              </w:rPr>
              <w:t>Temple &amp; Webster (TPW)</w:t>
            </w:r>
          </w:p>
        </w:tc>
        <w:tc>
          <w:tcPr>
            <w:tcW w:type="dxa" w:w="2351"/>
          </w:tcPr>
          <w:p>
            <w:r>
              <w:rPr>
                <w:sz w:val="18"/>
              </w:rPr>
              <w:t>+20% to AUD $375.9M</w:t>
            </w:r>
          </w:p>
        </w:tc>
        <w:tc>
          <w:tcPr>
            <w:tcW w:type="dxa" w:w="2351"/>
          </w:tcPr>
          <w:p>
            <w:r>
              <w:rPr>
                <w:sz w:val="18"/>
              </w:rPr>
              <w:t>Loss-making (growth phase)</w:t>
            </w:r>
          </w:p>
        </w:tc>
        <w:tc>
          <w:tcPr>
            <w:tcW w:type="dxa" w:w="2351"/>
          </w:tcPr>
          <w:p>
            <w:r>
              <w:rPr>
                <w:sz w:val="18"/>
              </w:rPr>
              <w:t>Online structural share gain: 2.9% market share (record)</w:t>
            </w:r>
          </w:p>
        </w:tc>
      </w:tr>
    </w:tbl>
    <w:p/>
    <w:p>
      <w:pPr>
        <w:spacing w:after="120"/>
      </w:pPr>
      <w:r>
        <w:rPr>
          <w:b w:val="0"/>
          <w:i w:val="0"/>
          <w:color w:val="404040"/>
          <w:sz w:val="20"/>
        </w:rPr>
        <w:t>The structural lesson: Adairs chose promotional matching. Nick Scali chose margin discipline. Same environment, same quarter, NPAT outcome difference of 63 percentage points. This is the live evidence base for LKG's EOFY promotional approach.</w:t>
      </w:r>
    </w:p>
    <w:p/>
    <w:p>
      <w:pPr>
        <w:pStyle w:val="Heading1"/>
      </w:pPr>
      <w:r>
        <w:rPr>
          <w:b/>
          <w:color w:val="1F3664"/>
          <w:sz w:val="32"/>
        </w:rPr>
        <w:t>6. Recommended Actions</w:t>
      </w:r>
    </w:p>
    <w:p>
      <w:pPr>
        <w:pStyle w:val="Heading2"/>
      </w:pPr>
      <w:r>
        <w:rPr>
          <w:b/>
          <w:color w:val="2E74B5"/>
          <w:sz w:val="26"/>
        </w:rPr>
        <w:t>High Priority — Immediate (by 14 May 2026)</w:t>
      </w:r>
    </w:p>
    <w:p>
      <w:pPr>
        <w:pStyle w:val="Heading3"/>
      </w:pPr>
      <w:r>
        <w:rPr>
          <w:b/>
          <w:color w:val="1F3664"/>
          <w:sz w:val="22"/>
        </w:rPr>
        <w:t>IG-1: Recalculate and Hard-Floor Promotional Margins</w:t>
      </w:r>
    </w:p>
    <w:p>
      <w:pPr>
        <w:spacing w:after="120"/>
      </w:pPr>
      <w:r>
        <w:rPr>
          <w:b w:val="0"/>
          <w:i w:val="0"/>
          <w:color w:val="404040"/>
          <w:sz w:val="20"/>
        </w:rPr>
        <w:t>Evidence: Foam costs up approximately 20% (industry estimate — confirm contracted price). Ocean freight surcharge $400-900 per 40ft container on China-Australia routes (Drewry WCI, 30 Apr 2026). Adairs lost 170bps gross margin from equivalent promotional posture in the same period.</w:t>
      </w:r>
    </w:p>
    <w:p>
      <w:pPr>
        <w:spacing w:before="80" w:after="80"/>
        <w:ind w:left="288"/>
      </w:pPr>
      <w:r>
        <w:rPr>
          <w:b/>
          <w:color w:val="C00000"/>
          <w:sz w:val="20"/>
        </w:rPr>
        <w:t xml:space="preserve">Action Required: </w:t>
      </w:r>
      <w:r>
        <w:rPr>
          <w:color w:val="404040"/>
          <w:sz w:val="20"/>
        </w:rPr>
        <w:t>Finance and Ops to pull current COGS for top 20 promotional mattress SKUs and recalculate at current input costs. Remove or reprice any SKU below minimum GM floor before 14 May. Do not launch EOFY promotions without this check.</w:t>
      </w:r>
    </w:p>
    <w:p>
      <w:pPr>
        <w:pStyle w:val="ListBullet"/>
        <w:spacing w:after="80"/>
      </w:pPr>
      <w:r>
        <w:rPr>
          <w:b/>
          <w:color w:val="1F3664"/>
          <w:sz w:val="20"/>
        </w:rPr>
        <w:t xml:space="preserve">Review Flag: </w:t>
      </w:r>
      <w:r>
        <w:rPr>
          <w:color w:val="404040"/>
          <w:sz w:val="20"/>
        </w:rPr>
        <w:t>Foam cost estimate is industry-level, not contracted LKG rate. Confirm with procurement before briefing stores.</w:t>
      </w:r>
      <w:r>
        <w:rPr>
          <w:b/>
          <w:color w:val="C55000"/>
          <w:sz w:val="18"/>
        </w:rPr>
        <w:t xml:space="preserve">  [REVIEW FLAG]</w:t>
      </w:r>
    </w:p>
    <w:p>
      <w:pPr>
        <w:pStyle w:val="ListBullet"/>
        <w:spacing w:after="80"/>
      </w:pPr>
      <w:r>
        <w:rPr>
          <w:b/>
          <w:color w:val="1F3664"/>
          <w:sz w:val="20"/>
        </w:rPr>
        <w:t xml:space="preserve">Owner and Deadline: </w:t>
      </w:r>
      <w:r>
        <w:rPr>
          <w:color w:val="404040"/>
          <w:sz w:val="20"/>
        </w:rPr>
        <w:t>Owner: Finance / Operations. Deadline: 14 May 2026.</w:t>
      </w:r>
    </w:p>
    <w:p/>
    <w:p>
      <w:pPr>
        <w:pStyle w:val="Heading3"/>
      </w:pPr>
      <w:r>
        <w:rPr>
          <w:b/>
          <w:color w:val="1F3664"/>
          <w:sz w:val="22"/>
        </w:rPr>
        <w:t>IG-6: Lock Q3 2026 Freight Bookings Immediately</w:t>
      </w:r>
    </w:p>
    <w:p>
      <w:pPr>
        <w:spacing w:after="120"/>
      </w:pPr>
      <w:r>
        <w:rPr>
          <w:b w:val="0"/>
          <w:i w:val="0"/>
          <w:color w:val="404040"/>
          <w:sz w:val="20"/>
        </w:rPr>
        <w:t>Evidence: Ocean freight surcharges $400-900 per 40ft container (EpicSourcing; Drewry WCI 30 Apr 2026). Australia Post fuel surcharge increased from 4.8% to 12% from 23 April 2026.</w:t>
      </w:r>
    </w:p>
    <w:p>
      <w:pPr>
        <w:spacing w:before="80" w:after="80"/>
        <w:ind w:left="288"/>
      </w:pPr>
      <w:r>
        <w:rPr>
          <w:b/>
          <w:color w:val="C00000"/>
          <w:sz w:val="20"/>
        </w:rPr>
        <w:t xml:space="preserve">Action Required: </w:t>
      </w:r>
      <w:r>
        <w:rPr>
          <w:color w:val="404040"/>
          <w:sz w:val="20"/>
        </w:rPr>
        <w:t>Supply chain team to review and lock Q3 2026 freight bookings within 7 days. Confirm e-commerce fulfilment cost models have been updated to reflect the Australia Post surcharge before EOFY campaign budgets are finalised.</w:t>
      </w:r>
    </w:p>
    <w:p>
      <w:pPr>
        <w:pStyle w:val="ListBullet"/>
        <w:spacing w:after="80"/>
      </w:pPr>
      <w:r>
        <w:rPr>
          <w:b/>
          <w:color w:val="1F3664"/>
          <w:sz w:val="20"/>
        </w:rPr>
        <w:t xml:space="preserve">Owner and Deadline: </w:t>
      </w:r>
      <w:r>
        <w:rPr>
          <w:color w:val="404040"/>
          <w:sz w:val="20"/>
        </w:rPr>
        <w:t>Owner: Supply Chain / Logistics. Deadline: 15 May 2026.</w:t>
      </w:r>
    </w:p>
    <w:p/>
    <w:p>
      <w:pPr>
        <w:pStyle w:val="Heading3"/>
      </w:pPr>
      <w:r>
        <w:rPr>
          <w:b/>
          <w:color w:val="1F3664"/>
          <w:sz w:val="22"/>
        </w:rPr>
        <w:t>IG-2: Post-Mother's Day Service-Led Conversion Activation (15-31 May)</w:t>
      </w:r>
    </w:p>
    <w:p>
      <w:pPr>
        <w:spacing w:after="120"/>
      </w:pPr>
      <w:r>
        <w:rPr>
          <w:b w:val="0"/>
          <w:i w:val="0"/>
          <w:color w:val="404040"/>
          <w:sz w:val="20"/>
        </w:rPr>
        <w:t>Evidence: All major competitors wind down current promotions between 14-25 May. EOFY promotional cycle not expected until June. Approximately 10-15 day window of reduced competitive promotional noise.</w:t>
      </w:r>
    </w:p>
    <w:p>
      <w:pPr>
        <w:spacing w:before="80" w:after="80"/>
        <w:ind w:left="288"/>
      </w:pPr>
      <w:r>
        <w:rPr>
          <w:b/>
          <w:color w:val="C00000"/>
          <w:sz w:val="20"/>
        </w:rPr>
        <w:t xml:space="preserve">Action Required: </w:t>
      </w:r>
      <w:r>
        <w:rPr>
          <w:color w:val="404040"/>
          <w:sz w:val="20"/>
        </w:rPr>
        <w:t>Brief Snooze marketing team by 9 May. Design service-led activation (extended sleep consultation, mattress trial extension, local franchise events). Target existing CRM member database. No headline discounting required.</w:t>
      </w:r>
    </w:p>
    <w:p>
      <w:pPr>
        <w:pStyle w:val="ListBullet"/>
        <w:spacing w:after="80"/>
      </w:pPr>
      <w:r>
        <w:rPr>
          <w:b/>
          <w:color w:val="1F3664"/>
          <w:sz w:val="20"/>
        </w:rPr>
        <w:t xml:space="preserve">Owner and Deadline: </w:t>
      </w:r>
      <w:r>
        <w:rPr>
          <w:color w:val="404040"/>
          <w:sz w:val="20"/>
        </w:rPr>
        <w:t>Owner: Marketing / Franchise Operations. Brief by: 9 May 2026.</w:t>
      </w:r>
    </w:p>
    <w:p/>
    <w:p>
      <w:pPr>
        <w:pStyle w:val="Heading2"/>
      </w:pPr>
      <w:r>
        <w:rPr>
          <w:b/>
          <w:color w:val="2E74B5"/>
          <w:sz w:val="26"/>
        </w:rPr>
        <w:t>High Priority — Complete by End of May (Both: GM + Board visibility)</w:t>
      </w:r>
    </w:p>
    <w:p>
      <w:pPr>
        <w:pStyle w:val="Heading3"/>
      </w:pPr>
      <w:r>
        <w:rPr>
          <w:b/>
          <w:color w:val="1F3664"/>
          <w:sz w:val="22"/>
        </w:rPr>
        <w:t>IG-3: Formal Minimum Gross Margin Floor Policy — All Portfolio Companies</w:t>
      </w:r>
    </w:p>
    <w:p>
      <w:pPr>
        <w:spacing w:after="120"/>
      </w:pPr>
      <w:r>
        <w:rPr>
          <w:b w:val="0"/>
          <w:i w:val="0"/>
          <w:color w:val="404040"/>
          <w:sz w:val="20"/>
        </w:rPr>
        <w:t>Evidence: Nick Scali NPAT +29% vs Adairs NPAT -34% in the same period. The only structural difference was margin discipline. Without a formalised floor policy, franchise and wholesale promotional decisions default to competitive matching — systematic margin destruction through EOFY.</w:t>
      </w:r>
    </w:p>
    <w:p>
      <w:pPr>
        <w:spacing w:before="80" w:after="80"/>
        <w:ind w:left="288"/>
      </w:pPr>
      <w:r>
        <w:rPr>
          <w:b/>
          <w:color w:val="C00000"/>
          <w:sz w:val="20"/>
        </w:rPr>
        <w:t xml:space="preserve">Action Required: </w:t>
      </w:r>
      <w:r>
        <w:rPr>
          <w:color w:val="404040"/>
          <w:sz w:val="20"/>
        </w:rPr>
        <w:t>GM and CFO to draft minimum GM floor policy by category (mattresses, bedroom furniture, accessories) for Snooze, Future Sleep, and G&amp;G. Use NCK vs ADH comparison as evidentiary anchor. Table at June Board meeting.</w:t>
      </w:r>
    </w:p>
    <w:p>
      <w:pPr>
        <w:pStyle w:val="ListBullet"/>
        <w:spacing w:after="80"/>
      </w:pPr>
      <w:r>
        <w:rPr>
          <w:b/>
          <w:color w:val="1F3664"/>
          <w:sz w:val="20"/>
        </w:rPr>
        <w:t xml:space="preserve">Owner and Deadline: </w:t>
      </w:r>
      <w:r>
        <w:rPr>
          <w:color w:val="404040"/>
          <w:sz w:val="20"/>
        </w:rPr>
        <w:t>Owner: GM / CFO. Board submission: June 2026.</w:t>
      </w:r>
    </w:p>
    <w:p/>
    <w:p>
      <w:pPr>
        <w:pStyle w:val="Heading3"/>
      </w:pPr>
      <w:r>
        <w:rPr>
          <w:b/>
          <w:color w:val="1F3664"/>
          <w:sz w:val="22"/>
        </w:rPr>
        <w:t>IG-4: Commission Competitive Positioning Brief on Allegro / Fantastic Furniture Acquisition</w:t>
      </w:r>
    </w:p>
    <w:p>
      <w:pPr>
        <w:spacing w:after="120"/>
      </w:pPr>
      <w:r>
        <w:rPr>
          <w:b w:val="0"/>
          <w:i w:val="0"/>
          <w:color w:val="404040"/>
          <w:sz w:val="20"/>
        </w:rPr>
        <w:t>Evidence: Allegro Funds acquired Fantastic Furniture (86 stores, AUD $563.5M revenue) on 4 May 2026. Amart+Freedom merger (Aug 2025) created approximately 120-store entity. Both PE-backed with 12-36 month investment horizons.</w:t>
      </w:r>
    </w:p>
    <w:p>
      <w:pPr>
        <w:spacing w:before="80" w:after="80"/>
        <w:ind w:left="288"/>
      </w:pPr>
      <w:r>
        <w:rPr>
          <w:b/>
          <w:color w:val="C00000"/>
          <w:sz w:val="20"/>
        </w:rPr>
        <w:t xml:space="preserve">Action Required: </w:t>
      </w:r>
      <w:r>
        <w:rPr>
          <w:color w:val="404040"/>
          <w:sz w:val="20"/>
        </w:rPr>
        <w:t>GM to commission store-location overlap analysis: Fantastic Furniture vs Snooze and G&amp;G catchments. Include price-tier overlap and Allegro's known retail acquisition playbook. Table at June Board meeting.</w:t>
      </w:r>
    </w:p>
    <w:p>
      <w:pPr>
        <w:pStyle w:val="ListBullet"/>
        <w:spacing w:after="80"/>
      </w:pPr>
      <w:r>
        <w:rPr>
          <w:b/>
          <w:color w:val="1F3664"/>
          <w:sz w:val="20"/>
        </w:rPr>
        <w:t xml:space="preserve">Owner and Deadline: </w:t>
      </w:r>
      <w:r>
        <w:rPr>
          <w:color w:val="404040"/>
          <w:sz w:val="20"/>
        </w:rPr>
        <w:t>Owner: GM / Commercial Strategy. Deadline: June Board meeting.</w:t>
      </w:r>
    </w:p>
    <w:p/>
    <w:p>
      <w:pPr>
        <w:pStyle w:val="Heading3"/>
      </w:pPr>
      <w:r>
        <w:rPr>
          <w:b/>
          <w:color w:val="1F3664"/>
          <w:sz w:val="22"/>
        </w:rPr>
        <w:t>IG-7: G&amp;G Furniture USD Contract Exposure and FX Hedging Review</w:t>
      </w:r>
    </w:p>
    <w:p>
      <w:pPr>
        <w:spacing w:after="120"/>
      </w:pPr>
      <w:r>
        <w:rPr>
          <w:b w:val="0"/>
          <w:i w:val="0"/>
          <w:color w:val="404040"/>
          <w:sz w:val="20"/>
        </w:rPr>
        <w:t>Evidence: AUD/USD at 0.7242 (+13% YoY, four-year high) as of May 2026.</w:t>
      </w:r>
    </w:p>
    <w:p>
      <w:pPr>
        <w:spacing w:before="80" w:after="80"/>
        <w:ind w:left="288"/>
      </w:pPr>
      <w:r>
        <w:rPr>
          <w:b/>
          <w:color w:val="C00000"/>
          <w:sz w:val="20"/>
        </w:rPr>
        <w:t xml:space="preserve">Action Required: </w:t>
      </w:r>
      <w:r>
        <w:rPr>
          <w:color w:val="404040"/>
          <w:sz w:val="20"/>
        </w:rPr>
        <w:t>G&amp;G CFO to provide written summary: (1) proportion of USD-denominated contracts, (2) current hedging position and maturity dates, (3) whether AUD tailwind is reflected in FY27 cost planning. Review within two weeks.</w:t>
      </w:r>
    </w:p>
    <w:p>
      <w:pPr>
        <w:pStyle w:val="ListBullet"/>
        <w:spacing w:after="80"/>
      </w:pPr>
      <w:r>
        <w:rPr>
          <w:b/>
          <w:color w:val="1F3664"/>
          <w:sz w:val="20"/>
        </w:rPr>
        <w:t xml:space="preserve">Review Flag: </w:t>
      </w:r>
      <w:r>
        <w:rPr>
          <w:color w:val="404040"/>
          <w:sz w:val="20"/>
        </w:rPr>
        <w:t>FX rate sourced from market aggregator — verify current rate with treasury before acting.</w:t>
      </w:r>
      <w:r>
        <w:rPr>
          <w:b/>
          <w:color w:val="C55000"/>
          <w:sz w:val="18"/>
        </w:rPr>
        <w:t xml:space="preserve">  [REVIEW FLAG]</w:t>
      </w:r>
    </w:p>
    <w:p>
      <w:pPr>
        <w:pStyle w:val="ListBullet"/>
        <w:spacing w:after="80"/>
      </w:pPr>
      <w:r>
        <w:rPr>
          <w:b/>
          <w:color w:val="1F3664"/>
          <w:sz w:val="20"/>
        </w:rPr>
        <w:t xml:space="preserve">Owner and Deadline: </w:t>
      </w:r>
      <w:r>
        <w:rPr>
          <w:color w:val="404040"/>
          <w:sz w:val="20"/>
        </w:rPr>
        <w:t>Owner: G&amp;G CFO. Deadline: 22 May 2026.</w:t>
      </w:r>
    </w:p>
    <w:p/>
    <w:p>
      <w:pPr>
        <w:pStyle w:val="Heading3"/>
      </w:pPr>
      <w:r>
        <w:rPr>
          <w:b/>
          <w:color w:val="1F3664"/>
          <w:sz w:val="22"/>
        </w:rPr>
        <w:t>IG-9: Housing Demand Readiness Plan for 2026-27 Wave</w:t>
      </w:r>
    </w:p>
    <w:p>
      <w:pPr>
        <w:spacing w:after="120"/>
      </w:pPr>
      <w:r>
        <w:rPr>
          <w:b w:val="0"/>
          <w:i w:val="0"/>
          <w:color w:val="404040"/>
          <w:sz w:val="20"/>
        </w:rPr>
        <w:t>Evidence: Dwelling commencements +11.6% YoY in Q3 2025 (ABS). Typical lag to furniture purchase: 9-15 months, implying demand wave late 2026 to Q2 2027. March 2026 approvals fell 10.5% — wave may moderate post-2027.</w:t>
      </w:r>
    </w:p>
    <w:p>
      <w:pPr>
        <w:spacing w:before="80" w:after="80"/>
        <w:ind w:left="288"/>
      </w:pPr>
      <w:r>
        <w:rPr>
          <w:b/>
          <w:color w:val="C00000"/>
          <w:sz w:val="20"/>
        </w:rPr>
        <w:t xml:space="preserve">Action Required: </w:t>
      </w:r>
      <w:r>
        <w:rPr>
          <w:color w:val="404040"/>
          <w:sz w:val="20"/>
        </w:rPr>
        <w:t>GM to develop readiness brief covering: (1) franchise network capacity in growth corridors (Perth, QLD); (2) Future Sleep range alignment with new-mover segment; (3) inventory and lead-time planning for H2 2026. Table at June Board meeting.</w:t>
      </w:r>
    </w:p>
    <w:p>
      <w:pPr>
        <w:pStyle w:val="ListBullet"/>
        <w:spacing w:after="80"/>
      </w:pPr>
      <w:r>
        <w:rPr>
          <w:b/>
          <w:color w:val="1F3664"/>
          <w:sz w:val="20"/>
        </w:rPr>
        <w:t xml:space="preserve">Owner and Deadline: </w:t>
      </w:r>
      <w:r>
        <w:rPr>
          <w:color w:val="404040"/>
          <w:sz w:val="20"/>
        </w:rPr>
        <w:t>Owner: GM / Franchise Operations. Deadline: June Board meeting.</w:t>
      </w:r>
    </w:p>
    <w:p/>
    <w:p>
      <w:pPr>
        <w:pStyle w:val="Heading2"/>
      </w:pPr>
      <w:r>
        <w:rPr>
          <w:b/>
          <w:color w:val="2E74B5"/>
          <w:sz w:val="26"/>
        </w:rPr>
        <w:t>Medium Priority — Complete Within Two Weeks</w:t>
      </w:r>
    </w:p>
    <w:p>
      <w:pPr>
        <w:pStyle w:val="Heading3"/>
      </w:pPr>
      <w:r>
        <w:rPr>
          <w:b/>
          <w:color w:val="1F3664"/>
          <w:sz w:val="22"/>
        </w:rPr>
        <w:t>IG-10: Benchmark Snooze Consumer Finance Offer; Consider BNPL Mechanic for EOFY</w:t>
      </w:r>
    </w:p>
    <w:p>
      <w:pPr>
        <w:spacing w:after="120"/>
      </w:pPr>
      <w:r>
        <w:rPr>
          <w:b w:val="0"/>
          <w:i w:val="0"/>
          <w:color w:val="404040"/>
          <w:sz w:val="20"/>
        </w:rPr>
        <w:t>Evidence: Only 15% of Australians consider now a good time to buy major household items. Competitors (Forty Winks, Amart) are using sleep-trial mechanics and loyalty offers to reduce purchase friction rather than pure discounting. Motivated buyers who are cash-flow-hesitant — not price-objecting — are being lost.</w:t>
      </w:r>
    </w:p>
    <w:p>
      <w:pPr>
        <w:spacing w:before="80" w:after="80"/>
        <w:ind w:left="288"/>
      </w:pPr>
      <w:r>
        <w:rPr>
          <w:b/>
          <w:color w:val="C00000"/>
          <w:sz w:val="20"/>
        </w:rPr>
        <w:t xml:space="preserve">Action Required: </w:t>
      </w:r>
      <w:r>
        <w:rPr>
          <w:color w:val="404040"/>
          <w:sz w:val="20"/>
        </w:rPr>
        <w:t>Commercial team to benchmark Snooze vs Forty Winks, Bedshed, Harvey Norman, and Amart on: interest-free term length; BNPL integration prominence; in-store finance presentation at point of sale. Identify gaps and propose an EOFY mechanic within two weeks.</w:t>
      </w:r>
    </w:p>
    <w:p>
      <w:pPr>
        <w:pStyle w:val="ListBullet"/>
        <w:spacing w:after="80"/>
      </w:pPr>
      <w:r>
        <w:rPr>
          <w:b/>
          <w:color w:val="1F3664"/>
          <w:sz w:val="20"/>
        </w:rPr>
        <w:t xml:space="preserve">Owner and Deadline: </w:t>
      </w:r>
      <w:r>
        <w:rPr>
          <w:color w:val="404040"/>
          <w:sz w:val="20"/>
        </w:rPr>
        <w:t>Owner: Commercial / Marketing. Deadline: 22 May 2026.</w:t>
      </w:r>
    </w:p>
    <w:p>
      <w:pPr>
        <w:pStyle w:val="ListBullet"/>
        <w:spacing w:after="80"/>
      </w:pPr>
      <w:r>
        <w:rPr>
          <w:b/>
          <w:color w:val="1F3664"/>
          <w:sz w:val="20"/>
        </w:rPr>
        <w:t xml:space="preserve">Review Flag: </w:t>
      </w:r>
      <w:r>
        <w:rPr>
          <w:color w:val="404040"/>
          <w:sz w:val="20"/>
        </w:rPr>
        <w:t>BNPL provider terms and current Snooze finance offer details require internal confirmation before external benchmarking.</w:t>
      </w:r>
      <w:r>
        <w:rPr>
          <w:b/>
          <w:color w:val="C55000"/>
          <w:sz w:val="18"/>
        </w:rPr>
        <w:t xml:space="preserve">  [REVIEW FLAG]</w:t>
      </w:r>
    </w:p>
    <w:p/>
    <w:p>
      <w:pPr>
        <w:pStyle w:val="Heading1"/>
      </w:pPr>
      <w:r>
        <w:rPr>
          <w:b/>
          <w:color w:val="1F3664"/>
          <w:sz w:val="32"/>
        </w:rPr>
        <w:t>7. Review Flags Requiring Resolution Before Acting</w:t>
      </w:r>
    </w:p>
    <w:p>
      <w:pPr>
        <w:spacing w:after="120"/>
      </w:pPr>
      <w:r>
        <w:rPr>
          <w:b w:val="0"/>
          <w:i w:val="0"/>
          <w:color w:val="C55000"/>
          <w:sz w:val="20"/>
        </w:rPr>
        <w:t>The following items carry uncertainty that must be resolved internally before the associated action or figure is used in presentations, board papers, or external communications.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664"/>
          </w:tcPr>
          <w:p>
            <w:r/>
            <w:r>
              <w:rPr>
                <w:b/>
                <w:color w:val="FFFFFF"/>
                <w:sz w:val="18"/>
              </w:rPr>
              <w:t>Item / Source</w:t>
            </w:r>
          </w:p>
        </w:tc>
        <w:tc>
          <w:tcPr>
            <w:tcW w:type="dxa" w:w="3135"/>
            <w:shd w:val="clear" w:color="auto" w:fill="1F3664"/>
          </w:tcPr>
          <w:p>
            <w:r/>
            <w:r>
              <w:rPr>
                <w:b/>
                <w:color w:val="FFFFFF"/>
                <w:sz w:val="18"/>
              </w:rPr>
              <w:t>Issue</w:t>
            </w:r>
          </w:p>
        </w:tc>
        <w:tc>
          <w:tcPr>
            <w:tcW w:type="dxa" w:w="3135"/>
            <w:shd w:val="clear" w:color="auto" w:fill="1F3664"/>
          </w:tcPr>
          <w:p>
            <w:r/>
            <w:r>
              <w:rPr>
                <w:b/>
                <w:color w:val="FFFFFF"/>
                <w:sz w:val="18"/>
              </w:rPr>
              <w:t>Owner</w:t>
            </w:r>
          </w:p>
        </w:tc>
      </w:tr>
      <w:tr>
        <w:tc>
          <w:tcPr>
            <w:tcW w:type="dxa" w:w="3135"/>
          </w:tcPr>
          <w:p>
            <w:r>
              <w:rPr>
                <w:b/>
                <w:color w:val="C55000"/>
                <w:sz w:val="18"/>
              </w:rPr>
              <w:t>IG-1 / ABS MHSI</w:t>
            </w:r>
          </w:p>
        </w:tc>
        <w:tc>
          <w:tcPr>
            <w:tcW w:type="dxa" w:w="3135"/>
          </w:tcPr>
          <w:p>
            <w:r>
              <w:rPr>
                <w:sz w:val="18"/>
              </w:rPr>
              <w:t>ABS March 2026 +1.6% MoM figure is nominal only. Real volume unconfirmed. Do not use as evidence of category growth without ABS clarification.</w:t>
            </w:r>
          </w:p>
        </w:tc>
        <w:tc>
          <w:tcPr>
            <w:tcW w:type="dxa" w:w="3135"/>
          </w:tcPr>
          <w:p>
            <w:r>
              <w:rPr>
                <w:sz w:val="18"/>
              </w:rPr>
              <w:t>Finance / Research</w:t>
            </w:r>
          </w:p>
        </w:tc>
      </w:tr>
      <w:tr>
        <w:tc>
          <w:tcPr>
            <w:tcW w:type="dxa" w:w="3135"/>
          </w:tcPr>
          <w:p>
            <w:r>
              <w:rPr>
                <w:b/>
                <w:color w:val="C55000"/>
                <w:sz w:val="18"/>
              </w:rPr>
              <w:t>IG-1 / Foam costs</w:t>
            </w:r>
          </w:p>
        </w:tc>
        <w:tc>
          <w:tcPr>
            <w:tcW w:type="dxa" w:w="3135"/>
          </w:tcPr>
          <w:p>
            <w:r>
              <w:rPr>
                <w:sz w:val="18"/>
              </w:rPr>
              <w:t>~20% cost increase is an industry-level estimate. Confirm contracted LKG rate with Procurement before briefing stores or board.</w:t>
            </w:r>
          </w:p>
        </w:tc>
        <w:tc>
          <w:tcPr>
            <w:tcW w:type="dxa" w:w="3135"/>
          </w:tcPr>
          <w:p>
            <w:r>
              <w:rPr>
                <w:sz w:val="18"/>
              </w:rPr>
              <w:t>Procurement</w:t>
            </w:r>
          </w:p>
        </w:tc>
      </w:tr>
      <w:tr>
        <w:tc>
          <w:tcPr>
            <w:tcW w:type="dxa" w:w="3135"/>
          </w:tcPr>
          <w:p>
            <w:r>
              <w:rPr>
                <w:b/>
                <w:color w:val="C55000"/>
                <w:sz w:val="18"/>
              </w:rPr>
              <w:t>CA Amart+Freedom revenue</w:t>
            </w:r>
          </w:p>
        </w:tc>
        <w:tc>
          <w:tcPr>
            <w:tcW w:type="dxa" w:w="3135"/>
          </w:tcPr>
          <w:p>
            <w:r>
              <w:rPr>
                <w:sz w:val="18"/>
              </w:rPr>
              <w:t>AUD $1B+ revenue figure is unverified (Inside Retail / ChannelNews). Do not include in board papers or investor materials without independent confirmation.</w:t>
            </w:r>
          </w:p>
        </w:tc>
        <w:tc>
          <w:tcPr>
            <w:tcW w:type="dxa" w:w="3135"/>
          </w:tcPr>
          <w:p>
            <w:r>
              <w:rPr>
                <w:sz w:val="18"/>
              </w:rPr>
              <w:t>Commercial / Finance</w:t>
            </w:r>
          </w:p>
        </w:tc>
      </w:tr>
      <w:tr>
        <w:tc>
          <w:tcPr>
            <w:tcW w:type="dxa" w:w="3135"/>
          </w:tcPr>
          <w:p>
            <w:r>
              <w:rPr>
                <w:b/>
                <w:color w:val="C55000"/>
                <w:sz w:val="18"/>
              </w:rPr>
              <w:t>Sleeping Duck promo code</w:t>
            </w:r>
          </w:p>
        </w:tc>
        <w:tc>
          <w:tcPr>
            <w:tcW w:type="dxa" w:w="3135"/>
          </w:tcPr>
          <w:p>
            <w:r>
              <w:rPr>
                <w:sz w:val="18"/>
              </w:rPr>
              <w:t>SLEEPSYSTEM2026 code sourced via aggregator (BHG). Verify at sleepingduck.com before using in competitive response briefings.</w:t>
            </w:r>
          </w:p>
        </w:tc>
        <w:tc>
          <w:tcPr>
            <w:tcW w:type="dxa" w:w="3135"/>
          </w:tcPr>
          <w:p>
            <w:r>
              <w:rPr>
                <w:sz w:val="18"/>
              </w:rPr>
              <w:t>Marketing</w:t>
            </w:r>
          </w:p>
        </w:tc>
      </w:tr>
      <w:tr>
        <w:tc>
          <w:tcPr>
            <w:tcW w:type="dxa" w:w="3135"/>
          </w:tcPr>
          <w:p>
            <w:r>
              <w:rPr>
                <w:b/>
                <w:color w:val="C55000"/>
                <w:sz w:val="18"/>
              </w:rPr>
              <w:t>Tempur-AI partnership AU applicability</w:t>
            </w:r>
          </w:p>
        </w:tc>
        <w:tc>
          <w:tcPr>
            <w:tcW w:type="dxa" w:w="3135"/>
          </w:tcPr>
          <w:p>
            <w:r>
              <w:rPr>
                <w:sz w:val="18"/>
              </w:rPr>
              <w:t>US announcement only. AU activation timeline unconfirmed. Do not include in AU competitive threat analysis without confirmation.</w:t>
            </w:r>
          </w:p>
        </w:tc>
        <w:tc>
          <w:tcPr>
            <w:tcW w:type="dxa" w:w="3135"/>
          </w:tcPr>
          <w:p>
            <w:r>
              <w:rPr>
                <w:sz w:val="18"/>
              </w:rPr>
              <w:t>Research</w:t>
            </w:r>
          </w:p>
        </w:tc>
      </w:tr>
      <w:tr>
        <w:tc>
          <w:tcPr>
            <w:tcW w:type="dxa" w:w="3135"/>
          </w:tcPr>
          <w:p>
            <w:r>
              <w:rPr>
                <w:b/>
                <w:color w:val="C55000"/>
                <w:sz w:val="18"/>
              </w:rPr>
              <w:t>Comps valuation multiples</w:t>
            </w:r>
          </w:p>
        </w:tc>
        <w:tc>
          <w:tcPr>
            <w:tcW w:type="dxa" w:w="3135"/>
          </w:tcPr>
          <w:p>
            <w:r>
              <w:rPr>
                <w:sz w:val="18"/>
              </w:rPr>
              <w:t>EV/EBITDA ranges for NCK, HVN, TPW sourced from aggregators, not broker research. Do not use in M&amp;A or capital allocation discussions without broker-verified data.</w:t>
            </w:r>
          </w:p>
        </w:tc>
        <w:tc>
          <w:tcPr>
            <w:tcW w:type="dxa" w:w="3135"/>
          </w:tcPr>
          <w:p>
            <w:r>
              <w:rPr>
                <w:sz w:val="18"/>
              </w:rPr>
              <w:t>Finance / CFO</w:t>
            </w:r>
          </w:p>
        </w:tc>
      </w:tr>
      <w:tr>
        <w:tc>
          <w:tcPr>
            <w:tcW w:type="dxa" w:w="3135"/>
          </w:tcPr>
          <w:p>
            <w:r>
              <w:rPr>
                <w:b/>
                <w:color w:val="C55000"/>
                <w:sz w:val="18"/>
              </w:rPr>
              <w:t>IG-7 / AUD/USD rate</w:t>
            </w:r>
          </w:p>
        </w:tc>
        <w:tc>
          <w:tcPr>
            <w:tcW w:type="dxa" w:w="3135"/>
          </w:tcPr>
          <w:p>
            <w:r>
              <w:rPr>
                <w:sz w:val="18"/>
              </w:rPr>
              <w:t>0.7242 rate sourced from market aggregator. Verify current rate and hedging position with G&amp;G treasury before acting.</w:t>
            </w:r>
          </w:p>
        </w:tc>
        <w:tc>
          <w:tcPr>
            <w:tcW w:type="dxa" w:w="3135"/>
          </w:tcPr>
          <w:p>
            <w:r>
              <w:rPr>
                <w:sz w:val="18"/>
              </w:rPr>
              <w:t>G&amp;G CFO / Treasury</w:t>
            </w:r>
          </w:p>
        </w:tc>
      </w:tr>
    </w:tbl>
    <w:p/>
    <w:p>
      <w:pPr>
        <w:spacing w:before="80" w:after="80"/>
        <w:pBdr>
          <w:bottom w:val="single" w:sz="6" w:space="1" w:color="2E74B5"/>
        </w:pBdr>
      </w:pPr>
    </w:p>
    <w:p>
      <w:pPr>
        <w:spacing w:before="160"/>
      </w:pPr>
      <w:r>
        <w:rPr>
          <w:i/>
          <w:color w:val="707070"/>
          <w:sz w:val="16"/>
        </w:rPr>
        <w:t>DRAFT - APPROVED FOR INTERNAL DISTRIBUTION ONLY. Do not forward, publish, or circulate outside Hypnos Group (LK Group) without authorisation. Prepared: 8 May 2026. Week: May 1-8,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