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664"/>
          <w:sz w:val="40"/>
        </w:rPr>
        <w:t>LKG Furniture — Internal Source Log</w:t>
      </w:r>
    </w:p>
    <w:p>
      <w:r>
        <w:rPr>
          <w:color w:val="2E74B5"/>
          <w:sz w:val="22"/>
        </w:rPr>
        <w:t>Full Item Registry | All Classifications | All Sources</w:t>
      </w:r>
    </w:p>
    <w:p>
      <w:r>
        <w:rPr>
          <w:i/>
          <w:color w:val="606060"/>
          <w:sz w:val="18"/>
        </w:rPr>
        <w:t>Audience: Internal Research Team — Not for Distribution  |  Week: May 1-8, 2026  |  Prepared: 8 May 2026</w:t>
      </w:r>
    </w:p>
    <w:p>
      <w:pPr>
        <w:spacing w:before="80" w:after="80"/>
        <w:pBdr>
          <w:bottom w:val="single" w:sz="6" w:space="1" w:color="2E74B5"/>
        </w:pBdr>
      </w:pPr>
    </w:p>
    <w:p/>
    <w:p>
      <w:pPr>
        <w:spacing w:after="120"/>
      </w:pPr>
      <w:r>
        <w:rPr>
          <w:b w:val="0"/>
          <w:i w:val="0"/>
          <w:color w:val="404040"/>
          <w:sz w:val="20"/>
        </w:rPr>
        <w:t>This document is the complete research log for the week of May 1-8, 2026. It includes all items reviewed, their classification, confidence rating, source, review flags, and the human approval decision. It is the audit record for the GM and Board digests produced from this week's research cycle.</w:t>
      </w:r>
    </w:p>
    <w:p/>
    <w:p>
      <w:pPr>
        <w:pStyle w:val="Heading1"/>
      </w:pPr>
      <w:r>
        <w:rPr>
          <w:b/>
          <w:color w:val="1F3664"/>
          <w:sz w:val="32"/>
        </w:rPr>
        <w:t>1. Full Item Log</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664"/>
          </w:tcPr>
          <w:p>
            <w:r/>
            <w:r>
              <w:rPr>
                <w:b/>
                <w:color w:val="FFFFFF"/>
                <w:sz w:val="18"/>
              </w:rPr>
              <w:t>ID</w:t>
            </w:r>
          </w:p>
        </w:tc>
        <w:tc>
          <w:tcPr>
            <w:tcW w:type="dxa" w:w="3685"/>
            <w:shd w:val="clear" w:color="auto" w:fill="1F3664"/>
          </w:tcPr>
          <w:p>
            <w:r/>
            <w:r>
              <w:rPr>
                <w:b/>
                <w:color w:val="FFFFFF"/>
                <w:sz w:val="18"/>
              </w:rPr>
              <w:t>Summary</w:t>
            </w:r>
          </w:p>
        </w:tc>
        <w:tc>
          <w:tcPr>
            <w:tcW w:type="dxa" w:w="1134"/>
            <w:shd w:val="clear" w:color="auto" w:fill="1F3664"/>
          </w:tcPr>
          <w:p>
            <w:r/>
            <w:r>
              <w:rPr>
                <w:b/>
                <w:color w:val="FFFFFF"/>
                <w:sz w:val="18"/>
              </w:rPr>
              <w:t>Classification</w:t>
            </w:r>
          </w:p>
        </w:tc>
        <w:tc>
          <w:tcPr>
            <w:tcW w:type="dxa" w:w="1020"/>
            <w:shd w:val="clear" w:color="auto" w:fill="1F3664"/>
          </w:tcPr>
          <w:p>
            <w:r/>
            <w:r>
              <w:rPr>
                <w:b/>
                <w:color w:val="FFFFFF"/>
                <w:sz w:val="18"/>
              </w:rPr>
              <w:t>Confidence</w:t>
            </w:r>
          </w:p>
        </w:tc>
        <w:tc>
          <w:tcPr>
            <w:tcW w:type="dxa" w:w="1984"/>
            <w:shd w:val="clear" w:color="auto" w:fill="1F3664"/>
          </w:tcPr>
          <w:p>
            <w:r/>
            <w:r>
              <w:rPr>
                <w:b/>
                <w:color w:val="FFFFFF"/>
                <w:sz w:val="18"/>
              </w:rPr>
              <w:t>Review Flag</w:t>
            </w:r>
          </w:p>
        </w:tc>
        <w:tc>
          <w:tcPr>
            <w:tcW w:type="dxa" w:w="2268"/>
            <w:shd w:val="clear" w:color="auto" w:fill="1F3664"/>
          </w:tcPr>
          <w:p>
            <w:r/>
            <w:r>
              <w:rPr>
                <w:b/>
                <w:color w:val="FFFFFF"/>
                <w:sz w:val="18"/>
              </w:rPr>
              <w:t>Source</w:t>
            </w:r>
          </w:p>
        </w:tc>
        <w:tc>
          <w:tcPr>
            <w:tcW w:type="dxa" w:w="1134"/>
            <w:shd w:val="clear" w:color="auto" w:fill="1F3664"/>
          </w:tcPr>
          <w:p>
            <w:r/>
            <w:r>
              <w:rPr>
                <w:b/>
                <w:color w:val="FFFFFF"/>
                <w:sz w:val="18"/>
              </w:rPr>
              <w:t>Date</w:t>
            </w:r>
          </w:p>
        </w:tc>
      </w:tr>
      <w:tr>
        <w:tc>
          <w:tcPr>
            <w:tcW w:type="dxa" w:w="1425"/>
            <w:vAlign w:val="top"/>
          </w:tcPr>
          <w:p>
            <w:r>
              <w:rPr>
                <w:b/>
                <w:color w:val="1F3664"/>
                <w:sz w:val="16"/>
              </w:rPr>
              <w:t>SO-1</w:t>
            </w:r>
          </w:p>
        </w:tc>
        <w:tc>
          <w:tcPr>
            <w:tcW w:type="dxa" w:w="1425"/>
            <w:vAlign w:val="top"/>
          </w:tcPr>
          <w:p>
            <w:r>
              <w:rPr>
                <w:sz w:val="16"/>
              </w:rPr>
              <w:t>RBA raises cash rate to 4.35% — third consecutive hike</w:t>
            </w:r>
          </w:p>
        </w:tc>
        <w:tc>
          <w:tcPr>
            <w:tcW w:type="dxa" w:w="1425"/>
            <w:vAlign w:val="top"/>
          </w:tcPr>
          <w:p>
            <w:r>
              <w:rPr>
                <w:sz w:val="16"/>
              </w:rPr>
              <w:t>Board / 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RBA Media Release mr-26-12</w:t>
            </w:r>
          </w:p>
        </w:tc>
        <w:tc>
          <w:tcPr>
            <w:tcW w:type="dxa" w:w="1425"/>
            <w:vAlign w:val="top"/>
          </w:tcPr>
          <w:p>
            <w:r>
              <w:rPr>
                <w:sz w:val="16"/>
              </w:rPr>
              <w:t>5 May 2026</w:t>
            </w:r>
          </w:p>
        </w:tc>
      </w:tr>
      <w:tr>
        <w:tc>
          <w:tcPr>
            <w:tcW w:type="dxa" w:w="1425"/>
            <w:vAlign w:val="top"/>
          </w:tcPr>
          <w:p>
            <w:r>
              <w:rPr>
                <w:b/>
                <w:color w:val="378660"/>
                <w:sz w:val="16"/>
              </w:rPr>
              <w:t>SO-2</w:t>
            </w:r>
          </w:p>
        </w:tc>
        <w:tc>
          <w:tcPr>
            <w:tcW w:type="dxa" w:w="1425"/>
            <w:vAlign w:val="top"/>
          </w:tcPr>
          <w:p>
            <w:r>
              <w:rPr>
                <w:sz w:val="16"/>
              </w:rPr>
              <w:t>ANZ-Roy Morgan Consumer Confidence 67.2 — near historic lows; 15% consider now good time to buy household goods</w:t>
            </w:r>
          </w:p>
        </w:tc>
        <w:tc>
          <w:tcPr>
            <w:tcW w:type="dxa" w:w="1425"/>
            <w:vAlign w:val="top"/>
          </w:tcPr>
          <w:p>
            <w:r>
              <w:rPr>
                <w:sz w:val="16"/>
              </w:rPr>
              <w:t>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Roy Morgan/ANZ</w:t>
            </w:r>
          </w:p>
        </w:tc>
        <w:tc>
          <w:tcPr>
            <w:tcW w:type="dxa" w:w="1425"/>
            <w:vAlign w:val="top"/>
          </w:tcPr>
          <w:p>
            <w:r>
              <w:rPr>
                <w:sz w:val="16"/>
              </w:rPr>
              <w:t>5 May 2026</w:t>
            </w:r>
          </w:p>
        </w:tc>
      </w:tr>
      <w:tr>
        <w:tc>
          <w:tcPr>
            <w:tcW w:type="dxa" w:w="1425"/>
            <w:vAlign w:val="top"/>
          </w:tcPr>
          <w:p>
            <w:r>
              <w:rPr>
                <w:b/>
                <w:color w:val="378660"/>
                <w:sz w:val="16"/>
              </w:rPr>
              <w:t>SO-3</w:t>
            </w:r>
          </w:p>
        </w:tc>
        <w:tc>
          <w:tcPr>
            <w:tcW w:type="dxa" w:w="1425"/>
            <w:vAlign w:val="top"/>
          </w:tcPr>
          <w:p>
            <w:r>
              <w:rPr>
                <w:sz w:val="16"/>
              </w:rPr>
              <w:t>ABS MHSI: Furnishings +1.6% MoM March 2026 — nominal only</w:t>
            </w:r>
          </w:p>
        </w:tc>
        <w:tc>
          <w:tcPr>
            <w:tcW w:type="dxa" w:w="1425"/>
            <w:vAlign w:val="top"/>
          </w:tcPr>
          <w:p>
            <w:r>
              <w:rPr>
                <w:sz w:val="16"/>
              </w:rPr>
              <w:t>Both</w:t>
            </w:r>
          </w:p>
        </w:tc>
        <w:tc>
          <w:tcPr>
            <w:tcW w:type="dxa" w:w="1425"/>
            <w:vAlign w:val="top"/>
          </w:tcPr>
          <w:p>
            <w:r>
              <w:rPr>
                <w:sz w:val="16"/>
              </w:rPr>
              <w:t>Medium</w:t>
            </w:r>
          </w:p>
        </w:tc>
        <w:tc>
          <w:tcPr>
            <w:tcW w:type="dxa" w:w="1425"/>
            <w:vAlign w:val="top"/>
          </w:tcPr>
          <w:p>
            <w:r>
              <w:rPr>
                <w:color w:val="C55000"/>
                <w:sz w:val="16"/>
              </w:rPr>
              <w:t>Nominal vs real unconfirmed</w:t>
            </w:r>
          </w:p>
        </w:tc>
        <w:tc>
          <w:tcPr>
            <w:tcW w:type="dxa" w:w="1425"/>
            <w:vAlign w:val="top"/>
          </w:tcPr>
          <w:p>
            <w:r>
              <w:rPr>
                <w:sz w:val="16"/>
              </w:rPr>
              <w:t>ABS Monthly Household Spending Indicator, March 2026</w:t>
            </w:r>
          </w:p>
        </w:tc>
        <w:tc>
          <w:tcPr>
            <w:tcW w:type="dxa" w:w="1425"/>
            <w:vAlign w:val="top"/>
          </w:tcPr>
          <w:p>
            <w:r>
              <w:rPr>
                <w:sz w:val="16"/>
              </w:rPr>
              <w:t>April 2026</w:t>
            </w:r>
          </w:p>
        </w:tc>
      </w:tr>
      <w:tr>
        <w:tc>
          <w:tcPr>
            <w:tcW w:type="dxa" w:w="1425"/>
            <w:vAlign w:val="top"/>
          </w:tcPr>
          <w:p>
            <w:r>
              <w:rPr>
                <w:b/>
                <w:color w:val="1F3664"/>
                <w:sz w:val="16"/>
              </w:rPr>
              <w:t>SO-4</w:t>
            </w:r>
          </w:p>
        </w:tc>
        <w:tc>
          <w:tcPr>
            <w:tcW w:type="dxa" w:w="1425"/>
            <w:vAlign w:val="top"/>
          </w:tcPr>
          <w:p>
            <w:r>
              <w:rPr>
                <w:sz w:val="16"/>
              </w:rPr>
              <w:t>Housing turnover 559,457 YTD -1.9% YoY but +5.6% vs 5yr avg; median $922,838 +9.9% YoY; Perth/QLD strong, Syd/Melb soft</w:t>
            </w:r>
          </w:p>
        </w:tc>
        <w:tc>
          <w:tcPr>
            <w:tcW w:type="dxa" w:w="1425"/>
            <w:vAlign w:val="top"/>
          </w:tcPr>
          <w:p>
            <w:r>
              <w:rPr>
                <w:sz w:val="16"/>
              </w:rPr>
              <w:t>Both / Board</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Cotality April 2026</w:t>
            </w:r>
          </w:p>
        </w:tc>
        <w:tc>
          <w:tcPr>
            <w:tcW w:type="dxa" w:w="1425"/>
            <w:vAlign w:val="top"/>
          </w:tcPr>
          <w:p>
            <w:r>
              <w:rPr>
                <w:sz w:val="16"/>
              </w:rPr>
              <w:t>April 2026</w:t>
            </w:r>
          </w:p>
        </w:tc>
      </w:tr>
      <w:tr>
        <w:tc>
          <w:tcPr>
            <w:tcW w:type="dxa" w:w="1425"/>
            <w:vAlign w:val="top"/>
          </w:tcPr>
          <w:p>
            <w:r>
              <w:rPr>
                <w:b/>
                <w:color w:val="1F3664"/>
                <w:sz w:val="16"/>
              </w:rPr>
              <w:t>SO-5</w:t>
            </w:r>
          </w:p>
        </w:tc>
        <w:tc>
          <w:tcPr>
            <w:tcW w:type="dxa" w:w="1425"/>
            <w:vAlign w:val="top"/>
          </w:tcPr>
          <w:p>
            <w:r>
              <w:rPr>
                <w:sz w:val="16"/>
              </w:rPr>
              <w:t>A.H. Beard voluntary administration — P.A. Lucas &amp; Co; continues trading; Harvey Norman, Forty Winks, Domayne affected</w:t>
            </w:r>
          </w:p>
        </w:tc>
        <w:tc>
          <w:tcPr>
            <w:tcW w:type="dxa" w:w="1425"/>
            <w:vAlign w:val="top"/>
          </w:tcPr>
          <w:p>
            <w:r>
              <w:rPr>
                <w:sz w:val="16"/>
              </w:rPr>
              <w:t>Both / Board</w:t>
            </w:r>
          </w:p>
        </w:tc>
        <w:tc>
          <w:tcPr>
            <w:tcW w:type="dxa" w:w="1425"/>
            <w:vAlign w:val="top"/>
          </w:tcPr>
          <w:p>
            <w:r>
              <w:rPr>
                <w:sz w:val="16"/>
              </w:rPr>
              <w:t>Very High</w:t>
            </w:r>
          </w:p>
        </w:tc>
        <w:tc>
          <w:tcPr>
            <w:tcW w:type="dxa" w:w="1425"/>
            <w:vAlign w:val="top"/>
          </w:tcPr>
          <w:p>
            <w:r>
              <w:rPr>
                <w:color w:val="C55000"/>
                <w:sz w:val="16"/>
              </w:rPr>
              <w:t>No buyer named — monitor daily</w:t>
            </w:r>
          </w:p>
        </w:tc>
        <w:tc>
          <w:tcPr>
            <w:tcW w:type="dxa" w:w="1425"/>
            <w:vAlign w:val="top"/>
          </w:tcPr>
          <w:p>
            <w:r>
              <w:rPr>
                <w:sz w:val="16"/>
              </w:rPr>
              <w:t>BedTimes Magazine</w:t>
            </w:r>
          </w:p>
        </w:tc>
        <w:tc>
          <w:tcPr>
            <w:tcW w:type="dxa" w:w="1425"/>
            <w:vAlign w:val="top"/>
          </w:tcPr>
          <w:p>
            <w:r>
              <w:rPr>
                <w:sz w:val="16"/>
              </w:rPr>
              <w:t>April 2026</w:t>
            </w:r>
          </w:p>
        </w:tc>
      </w:tr>
      <w:tr>
        <w:tc>
          <w:tcPr>
            <w:tcW w:type="dxa" w:w="1425"/>
            <w:vAlign w:val="top"/>
          </w:tcPr>
          <w:p>
            <w:r>
              <w:rPr>
                <w:b/>
                <w:color w:val="1F3664"/>
                <w:sz w:val="16"/>
              </w:rPr>
              <w:t>SO-6</w:t>
            </w:r>
          </w:p>
        </w:tc>
        <w:tc>
          <w:tcPr>
            <w:tcW w:type="dxa" w:w="1425"/>
            <w:vAlign w:val="top"/>
          </w:tcPr>
          <w:p>
            <w:r>
              <w:rPr>
                <w:sz w:val="16"/>
              </w:rPr>
              <w:t>ACCC $15M penalty vs Emma Sleep — countdown timers, strikethrough pricing, 74 products, 4M+ misleading emails</w:t>
            </w:r>
          </w:p>
        </w:tc>
        <w:tc>
          <w:tcPr>
            <w:tcW w:type="dxa" w:w="1425"/>
            <w:vAlign w:val="top"/>
          </w:tcPr>
          <w:p>
            <w:r>
              <w:rPr>
                <w:sz w:val="16"/>
              </w:rPr>
              <w:t>Both / Board</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ACCC Media Release</w:t>
            </w:r>
          </w:p>
        </w:tc>
        <w:tc>
          <w:tcPr>
            <w:tcW w:type="dxa" w:w="1425"/>
            <w:vAlign w:val="top"/>
          </w:tcPr>
          <w:p>
            <w:r>
              <w:rPr>
                <w:sz w:val="16"/>
              </w:rPr>
              <w:t>24 April 2026</w:t>
            </w:r>
          </w:p>
        </w:tc>
      </w:tr>
      <w:tr>
        <w:tc>
          <w:tcPr>
            <w:tcW w:type="dxa" w:w="1425"/>
            <w:vAlign w:val="top"/>
          </w:tcPr>
          <w:p>
            <w:r>
              <w:rPr>
                <w:b/>
                <w:color w:val="1F3664"/>
                <w:sz w:val="16"/>
              </w:rPr>
              <w:t>SO-7</w:t>
            </w:r>
          </w:p>
        </w:tc>
        <w:tc>
          <w:tcPr>
            <w:tcW w:type="dxa" w:w="1425"/>
            <w:vAlign w:val="top"/>
          </w:tcPr>
          <w:p>
            <w:r>
              <w:rPr>
                <w:sz w:val="16"/>
              </w:rPr>
              <w:t>Allegro Funds acquires Fantastic Furniture (86 stores, AUD $563.5M revenue) 4 May 2026</w:t>
            </w:r>
          </w:p>
        </w:tc>
        <w:tc>
          <w:tcPr>
            <w:tcW w:type="dxa" w:w="1425"/>
            <w:vAlign w:val="top"/>
          </w:tcPr>
          <w:p>
            <w:r>
              <w:rPr>
                <w:sz w:val="16"/>
              </w:rPr>
              <w:t>Board / 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Inside Retail; Allegro Funds announcement</w:t>
            </w:r>
          </w:p>
        </w:tc>
        <w:tc>
          <w:tcPr>
            <w:tcW w:type="dxa" w:w="1425"/>
            <w:vAlign w:val="top"/>
          </w:tcPr>
          <w:p>
            <w:r>
              <w:rPr>
                <w:sz w:val="16"/>
              </w:rPr>
              <w:t>4 May 2026</w:t>
            </w:r>
          </w:p>
        </w:tc>
      </w:tr>
      <w:tr>
        <w:tc>
          <w:tcPr>
            <w:tcW w:type="dxa" w:w="1425"/>
            <w:vAlign w:val="top"/>
          </w:tcPr>
          <w:p>
            <w:r>
              <w:rPr>
                <w:b/>
                <w:color w:val="1F3664"/>
                <w:sz w:val="16"/>
              </w:rPr>
              <w:t>SO-8</w:t>
            </w:r>
          </w:p>
        </w:tc>
        <w:tc>
          <w:tcPr>
            <w:tcW w:type="dxa" w:w="1425"/>
            <w:vAlign w:val="top"/>
          </w:tcPr>
          <w:p>
            <w:r>
              <w:rPr>
                <w:sz w:val="16"/>
              </w:rPr>
              <w:t>Nick Scali H1 FY26: ANZ revenue +13.1%, NPAT +29%, record share price; 5 new stores FY26 planned</w:t>
            </w:r>
          </w:p>
        </w:tc>
        <w:tc>
          <w:tcPr>
            <w:tcW w:type="dxa" w:w="1425"/>
            <w:vAlign w:val="top"/>
          </w:tcPr>
          <w:p>
            <w:r>
              <w:rPr>
                <w:sz w:val="16"/>
              </w:rPr>
              <w:t>Board / 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Investing.com; ASX filings (NCK)</w:t>
            </w:r>
          </w:p>
        </w:tc>
        <w:tc>
          <w:tcPr>
            <w:tcW w:type="dxa" w:w="1425"/>
            <w:vAlign w:val="top"/>
          </w:tcPr>
          <w:p>
            <w:r>
              <w:rPr>
                <w:sz w:val="16"/>
              </w:rPr>
              <w:t>May 2026</w:t>
            </w:r>
          </w:p>
        </w:tc>
      </w:tr>
      <w:tr>
        <w:tc>
          <w:tcPr>
            <w:tcW w:type="dxa" w:w="1425"/>
            <w:vAlign w:val="top"/>
          </w:tcPr>
          <w:p>
            <w:r>
              <w:rPr>
                <w:b/>
                <w:color w:val="1F3664"/>
                <w:sz w:val="16"/>
              </w:rPr>
              <w:t>SO-9</w:t>
            </w:r>
          </w:p>
        </w:tc>
        <w:tc>
          <w:tcPr>
            <w:tcW w:type="dxa" w:w="1425"/>
            <w:vAlign w:val="top"/>
          </w:tcPr>
          <w:p>
            <w:r>
              <w:rPr>
                <w:sz w:val="16"/>
              </w:rPr>
              <w:t>Adairs H1 FY26: Revenue +5.9% to $329M, NPAT -34% to $12.8M, GM -170bps to 17.7%</w:t>
            </w:r>
          </w:p>
        </w:tc>
        <w:tc>
          <w:tcPr>
            <w:tcW w:type="dxa" w:w="1425"/>
            <w:vAlign w:val="top"/>
          </w:tcPr>
          <w:p>
            <w:r>
              <w:rPr>
                <w:sz w:val="16"/>
              </w:rPr>
              <w:t>Board / 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Kalkine; Yahoo Finance; ASX filings (ADH)</w:t>
            </w:r>
          </w:p>
        </w:tc>
        <w:tc>
          <w:tcPr>
            <w:tcW w:type="dxa" w:w="1425"/>
            <w:vAlign w:val="top"/>
          </w:tcPr>
          <w:p>
            <w:r>
              <w:rPr>
                <w:sz w:val="16"/>
              </w:rPr>
              <w:t>May 2026</w:t>
            </w:r>
          </w:p>
        </w:tc>
      </w:tr>
      <w:tr>
        <w:tc>
          <w:tcPr>
            <w:tcW w:type="dxa" w:w="1425"/>
            <w:vAlign w:val="top"/>
          </w:tcPr>
          <w:p>
            <w:r>
              <w:rPr>
                <w:b/>
                <w:color w:val="2E74B5"/>
                <w:sz w:val="16"/>
              </w:rPr>
              <w:t>CA-1</w:t>
            </w:r>
          </w:p>
        </w:tc>
        <w:tc>
          <w:tcPr>
            <w:tcW w:type="dxa" w:w="1425"/>
            <w:vAlign w:val="top"/>
          </w:tcPr>
          <w:p>
            <w:r>
              <w:rPr>
                <w:sz w:val="16"/>
              </w:rPr>
              <w:t>Forty Winks 'Forty Frenzy' sale: up to 50% off mattresses, 30% off bedroom; bedMATCH diagnostic in-store</w:t>
            </w:r>
          </w:p>
        </w:tc>
        <w:tc>
          <w:tcPr>
            <w:tcW w:type="dxa" w:w="1425"/>
            <w:vAlign w:val="top"/>
          </w:tcPr>
          <w:p>
            <w:r>
              <w:rPr>
                <w:sz w:val="16"/>
              </w:rPr>
              <w:t>GM</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fortywinks.com.au</w:t>
            </w:r>
          </w:p>
        </w:tc>
        <w:tc>
          <w:tcPr>
            <w:tcW w:type="dxa" w:w="1425"/>
            <w:vAlign w:val="top"/>
          </w:tcPr>
          <w:p>
            <w:r>
              <w:rPr>
                <w:sz w:val="16"/>
              </w:rPr>
              <w:t>Week of 5 May 2026</w:t>
            </w:r>
          </w:p>
        </w:tc>
      </w:tr>
      <w:tr>
        <w:tc>
          <w:tcPr>
            <w:tcW w:type="dxa" w:w="1425"/>
            <w:vAlign w:val="top"/>
          </w:tcPr>
          <w:p>
            <w:r>
              <w:rPr>
                <w:b/>
                <w:color w:val="2E74B5"/>
                <w:sz w:val="16"/>
              </w:rPr>
              <w:t>CA-2</w:t>
            </w:r>
          </w:p>
        </w:tc>
        <w:tc>
          <w:tcPr>
            <w:tcW w:type="dxa" w:w="1425"/>
            <w:vAlign w:val="top"/>
          </w:tcPr>
          <w:p>
            <w:r>
              <w:rPr>
                <w:sz w:val="16"/>
              </w:rPr>
              <w:t>Harvey Norman May 5-25 catalogue: bedroom and mattress promos; share buyback extended to Nov 2026 (~$900M)</w:t>
            </w:r>
          </w:p>
        </w:tc>
        <w:tc>
          <w:tcPr>
            <w:tcW w:type="dxa" w:w="1425"/>
            <w:vAlign w:val="top"/>
          </w:tcPr>
          <w:p>
            <w:r>
              <w:rPr>
                <w:sz w:val="16"/>
              </w:rPr>
              <w:t>GM / Both</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ASX trading updates; Kimbino</w:t>
            </w:r>
          </w:p>
        </w:tc>
        <w:tc>
          <w:tcPr>
            <w:tcW w:type="dxa" w:w="1425"/>
            <w:vAlign w:val="top"/>
          </w:tcPr>
          <w:p>
            <w:r>
              <w:rPr>
                <w:sz w:val="16"/>
              </w:rPr>
              <w:t>Week of 5 May 2026</w:t>
            </w:r>
          </w:p>
        </w:tc>
      </w:tr>
      <w:tr>
        <w:tc>
          <w:tcPr>
            <w:tcW w:type="dxa" w:w="1425"/>
            <w:vAlign w:val="top"/>
          </w:tcPr>
          <w:p>
            <w:r>
              <w:rPr>
                <w:b/>
                <w:color w:val="1F3664"/>
                <w:sz w:val="16"/>
              </w:rPr>
              <w:t>CA-3</w:t>
            </w:r>
          </w:p>
        </w:tc>
        <w:tc>
          <w:tcPr>
            <w:tcW w:type="dxa" w:w="1425"/>
            <w:vAlign w:val="top"/>
          </w:tcPr>
          <w:p>
            <w:r>
              <w:rPr>
                <w:sz w:val="16"/>
              </w:rPr>
              <w:t>Harvey Norman H1 FY26: after-tax profit $321.9M +15.2%, AU franchisee sales $3.5B +4.8%</w:t>
            </w:r>
          </w:p>
        </w:tc>
        <w:tc>
          <w:tcPr>
            <w:tcW w:type="dxa" w:w="1425"/>
            <w:vAlign w:val="top"/>
          </w:tcPr>
          <w:p>
            <w:r>
              <w:rPr>
                <w:sz w:val="16"/>
              </w:rPr>
              <w:t>Board</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Inside Retail; Motley Fool</w:t>
            </w:r>
          </w:p>
        </w:tc>
        <w:tc>
          <w:tcPr>
            <w:tcW w:type="dxa" w:w="1425"/>
            <w:vAlign w:val="top"/>
          </w:tcPr>
          <w:p>
            <w:r>
              <w:rPr>
                <w:sz w:val="16"/>
              </w:rPr>
              <w:t>May 2026</w:t>
            </w:r>
          </w:p>
        </w:tc>
      </w:tr>
      <w:tr>
        <w:tc>
          <w:tcPr>
            <w:tcW w:type="dxa" w:w="1425"/>
            <w:vAlign w:val="top"/>
          </w:tcPr>
          <w:p>
            <w:r>
              <w:rPr>
                <w:b/>
                <w:color w:val="2E74B5"/>
                <w:sz w:val="16"/>
              </w:rPr>
              <w:t>CA-4</w:t>
            </w:r>
          </w:p>
        </w:tc>
        <w:tc>
          <w:tcPr>
            <w:tcW w:type="dxa" w:w="1425"/>
            <w:vAlign w:val="top"/>
          </w:tcPr>
          <w:p>
            <w:r>
              <w:rPr>
                <w:sz w:val="16"/>
              </w:rPr>
              <w:t>IKEA PS 2026 collection launching 14 May AU; IKEA Family early access</w:t>
            </w:r>
          </w:p>
        </w:tc>
        <w:tc>
          <w:tcPr>
            <w:tcW w:type="dxa" w:w="1425"/>
            <w:vAlign w:val="top"/>
          </w:tcPr>
          <w:p>
            <w:r>
              <w:rPr>
                <w:sz w:val="16"/>
              </w:rPr>
              <w:t>GM</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IKEA AU website</w:t>
            </w:r>
          </w:p>
        </w:tc>
        <w:tc>
          <w:tcPr>
            <w:tcW w:type="dxa" w:w="1425"/>
            <w:vAlign w:val="top"/>
          </w:tcPr>
          <w:p>
            <w:r>
              <w:rPr>
                <w:sz w:val="16"/>
              </w:rPr>
              <w:t>Week of 5 May 2026</w:t>
            </w:r>
          </w:p>
        </w:tc>
      </w:tr>
      <w:tr>
        <w:tc>
          <w:tcPr>
            <w:tcW w:type="dxa" w:w="1425"/>
            <w:vAlign w:val="top"/>
          </w:tcPr>
          <w:p>
            <w:r>
              <w:rPr>
                <w:b/>
                <w:color w:val="2E74B5"/>
                <w:sz w:val="16"/>
              </w:rPr>
              <w:t>CA-5</w:t>
            </w:r>
          </w:p>
        </w:tc>
        <w:tc>
          <w:tcPr>
            <w:tcW w:type="dxa" w:w="1425"/>
            <w:vAlign w:val="top"/>
          </w:tcPr>
          <w:p>
            <w:r>
              <w:rPr>
                <w:sz w:val="16"/>
              </w:rPr>
              <w:t>Koala: up to 30% off mattresses + 50% off duvet + $50K Volvo/cash giveaway</w:t>
            </w:r>
          </w:p>
        </w:tc>
        <w:tc>
          <w:tcPr>
            <w:tcW w:type="dxa" w:w="1425"/>
            <w:vAlign w:val="top"/>
          </w:tcPr>
          <w:p>
            <w:r>
              <w:rPr>
                <w:sz w:val="16"/>
              </w:rPr>
              <w:t>GM</w:t>
            </w:r>
          </w:p>
        </w:tc>
        <w:tc>
          <w:tcPr>
            <w:tcW w:type="dxa" w:w="1425"/>
            <w:vAlign w:val="top"/>
          </w:tcPr>
          <w:p>
            <w:r>
              <w:rPr>
                <w:sz w:val="16"/>
              </w:rPr>
              <w:t>Medium-High</w:t>
            </w:r>
          </w:p>
        </w:tc>
        <w:tc>
          <w:tcPr>
            <w:tcW w:type="dxa" w:w="1425"/>
            <w:vAlign w:val="top"/>
          </w:tcPr>
          <w:p>
            <w:r>
              <w:rPr>
                <w:sz w:val="16"/>
              </w:rPr>
            </w:r>
          </w:p>
        </w:tc>
        <w:tc>
          <w:tcPr>
            <w:tcW w:type="dxa" w:w="1425"/>
            <w:vAlign w:val="top"/>
          </w:tcPr>
          <w:p>
            <w:r>
              <w:rPr>
                <w:sz w:val="16"/>
              </w:rPr>
              <w:t>Koala AU; Better Homes and Gardens aggregator</w:t>
            </w:r>
          </w:p>
        </w:tc>
        <w:tc>
          <w:tcPr>
            <w:tcW w:type="dxa" w:w="1425"/>
            <w:vAlign w:val="top"/>
          </w:tcPr>
          <w:p>
            <w:r>
              <w:rPr>
                <w:sz w:val="16"/>
              </w:rPr>
              <w:t>Week of 5 May 2026</w:t>
            </w:r>
          </w:p>
        </w:tc>
      </w:tr>
      <w:tr>
        <w:tc>
          <w:tcPr>
            <w:tcW w:type="dxa" w:w="1425"/>
            <w:vAlign w:val="top"/>
          </w:tcPr>
          <w:p>
            <w:r>
              <w:rPr>
                <w:b/>
                <w:color w:val="808080"/>
                <w:sz w:val="16"/>
              </w:rPr>
              <w:t>CA-6</w:t>
            </w:r>
          </w:p>
        </w:tc>
        <w:tc>
          <w:tcPr>
            <w:tcW w:type="dxa" w:w="1425"/>
            <w:vAlign w:val="top"/>
          </w:tcPr>
          <w:p>
            <w:r>
              <w:rPr>
                <w:color w:val="808080"/>
                <w:sz w:val="16"/>
              </w:rPr>
              <w:t>Duplicate entry — removed</w:t>
            </w:r>
          </w:p>
        </w:tc>
        <w:tc>
          <w:tcPr>
            <w:tcW w:type="dxa" w:w="1425"/>
            <w:vAlign w:val="top"/>
          </w:tcPr>
          <w:p>
            <w:r>
              <w:rPr>
                <w:color w:val="808080"/>
                <w:sz w:val="16"/>
              </w:rPr>
              <w:t>Ignored</w:t>
            </w:r>
          </w:p>
        </w:tc>
        <w:tc>
          <w:tcPr>
            <w:tcW w:type="dxa" w:w="1425"/>
            <w:vAlign w:val="top"/>
          </w:tcPr>
          <w:p>
            <w:r>
              <w:rPr>
                <w:color w:val="808080"/>
                <w:sz w:val="16"/>
              </w:rPr>
              <w:t>N/A</w:t>
            </w:r>
          </w:p>
        </w:tc>
        <w:tc>
          <w:tcPr>
            <w:tcW w:type="dxa" w:w="1425"/>
            <w:vAlign w:val="top"/>
          </w:tcPr>
          <w:p>
            <w:r>
              <w:rPr>
                <w:color w:val="808080"/>
                <w:sz w:val="16"/>
              </w:rPr>
              <w:t>Duplicate — removed from research</w:t>
            </w:r>
          </w:p>
        </w:tc>
        <w:tc>
          <w:tcPr>
            <w:tcW w:type="dxa" w:w="1425"/>
            <w:vAlign w:val="top"/>
          </w:tcPr>
          <w:p>
            <w:r>
              <w:rPr>
                <w:color w:val="808080"/>
                <w:sz w:val="16"/>
              </w:rPr>
              <w:t>N/A</w:t>
            </w:r>
          </w:p>
        </w:tc>
        <w:tc>
          <w:tcPr>
            <w:tcW w:type="dxa" w:w="1425"/>
            <w:vAlign w:val="top"/>
          </w:tcPr>
          <w:p>
            <w:r>
              <w:rPr>
                <w:color w:val="808080"/>
                <w:sz w:val="16"/>
              </w:rPr>
              <w:t>N/A</w:t>
            </w:r>
          </w:p>
        </w:tc>
      </w:tr>
      <w:tr>
        <w:tc>
          <w:tcPr>
            <w:tcW w:type="dxa" w:w="1425"/>
            <w:vAlign w:val="top"/>
          </w:tcPr>
          <w:p>
            <w:r>
              <w:rPr>
                <w:b/>
                <w:color w:val="2E74B5"/>
                <w:sz w:val="16"/>
              </w:rPr>
              <w:t>CA-7</w:t>
            </w:r>
          </w:p>
        </w:tc>
        <w:tc>
          <w:tcPr>
            <w:tcW w:type="dxa" w:w="1425"/>
            <w:vAlign w:val="top"/>
          </w:tcPr>
          <w:p>
            <w:r>
              <w:rPr>
                <w:sz w:val="16"/>
              </w:rPr>
              <w:t>Sleeping Duck: SLEEPSYSTEM2026 code, $350 off bed+mattress bundle</w:t>
            </w:r>
          </w:p>
        </w:tc>
        <w:tc>
          <w:tcPr>
            <w:tcW w:type="dxa" w:w="1425"/>
            <w:vAlign w:val="top"/>
          </w:tcPr>
          <w:p>
            <w:r>
              <w:rPr>
                <w:sz w:val="16"/>
              </w:rPr>
              <w:t>GM</w:t>
            </w:r>
          </w:p>
        </w:tc>
        <w:tc>
          <w:tcPr>
            <w:tcW w:type="dxa" w:w="1425"/>
            <w:vAlign w:val="top"/>
          </w:tcPr>
          <w:p>
            <w:r>
              <w:rPr>
                <w:sz w:val="16"/>
              </w:rPr>
              <w:t>Medium</w:t>
            </w:r>
          </w:p>
        </w:tc>
        <w:tc>
          <w:tcPr>
            <w:tcW w:type="dxa" w:w="1425"/>
            <w:vAlign w:val="top"/>
          </w:tcPr>
          <w:p>
            <w:r>
              <w:rPr>
                <w:color w:val="C55000"/>
                <w:sz w:val="16"/>
              </w:rPr>
              <w:t>Verify at sleepingduck.com — aggregator sourced</w:t>
            </w:r>
          </w:p>
        </w:tc>
        <w:tc>
          <w:tcPr>
            <w:tcW w:type="dxa" w:w="1425"/>
            <w:vAlign w:val="top"/>
          </w:tcPr>
          <w:p>
            <w:r>
              <w:rPr>
                <w:sz w:val="16"/>
              </w:rPr>
              <w:t>BHG aggregator</w:t>
            </w:r>
          </w:p>
        </w:tc>
        <w:tc>
          <w:tcPr>
            <w:tcW w:type="dxa" w:w="1425"/>
            <w:vAlign w:val="top"/>
          </w:tcPr>
          <w:p>
            <w:r>
              <w:rPr>
                <w:sz w:val="16"/>
              </w:rPr>
              <w:t>Week of 5 May 2026</w:t>
            </w:r>
          </w:p>
        </w:tc>
      </w:tr>
      <w:tr>
        <w:tc>
          <w:tcPr>
            <w:tcW w:type="dxa" w:w="1425"/>
            <w:vAlign w:val="top"/>
          </w:tcPr>
          <w:p>
            <w:r>
              <w:rPr>
                <w:b/>
                <w:color w:val="2E74B5"/>
                <w:sz w:val="16"/>
              </w:rPr>
              <w:t>CA-8</w:t>
            </w:r>
          </w:p>
        </w:tc>
        <w:tc>
          <w:tcPr>
            <w:tcW w:type="dxa" w:w="1425"/>
            <w:vAlign w:val="top"/>
          </w:tcPr>
          <w:p>
            <w:r>
              <w:rPr>
                <w:sz w:val="16"/>
              </w:rPr>
              <w:t>Ecosa: 30-35% off kids' mattresses and toppers; EOFY pre-marketing</w:t>
            </w:r>
          </w:p>
        </w:tc>
        <w:tc>
          <w:tcPr>
            <w:tcW w:type="dxa" w:w="1425"/>
            <w:vAlign w:val="top"/>
          </w:tcPr>
          <w:p>
            <w:r>
              <w:rPr>
                <w:sz w:val="16"/>
              </w:rPr>
              <w:t>GM</w:t>
            </w:r>
          </w:p>
        </w:tc>
        <w:tc>
          <w:tcPr>
            <w:tcW w:type="dxa" w:w="1425"/>
            <w:vAlign w:val="top"/>
          </w:tcPr>
          <w:p>
            <w:r>
              <w:rPr>
                <w:sz w:val="16"/>
              </w:rPr>
              <w:t>Medium</w:t>
            </w:r>
          </w:p>
        </w:tc>
        <w:tc>
          <w:tcPr>
            <w:tcW w:type="dxa" w:w="1425"/>
            <w:vAlign w:val="top"/>
          </w:tcPr>
          <w:p>
            <w:r>
              <w:rPr>
                <w:sz w:val="16"/>
              </w:rPr>
            </w:r>
          </w:p>
        </w:tc>
        <w:tc>
          <w:tcPr>
            <w:tcW w:type="dxa" w:w="1425"/>
            <w:vAlign w:val="top"/>
          </w:tcPr>
          <w:p>
            <w:r>
              <w:rPr>
                <w:sz w:val="16"/>
              </w:rPr>
              <w:t>Don't Pay Full aggregator</w:t>
            </w:r>
          </w:p>
        </w:tc>
        <w:tc>
          <w:tcPr>
            <w:tcW w:type="dxa" w:w="1425"/>
            <w:vAlign w:val="top"/>
          </w:tcPr>
          <w:p>
            <w:r>
              <w:rPr>
                <w:sz w:val="16"/>
              </w:rPr>
              <w:t>Week of 5 May 2026</w:t>
            </w:r>
          </w:p>
        </w:tc>
      </w:tr>
      <w:tr>
        <w:tc>
          <w:tcPr>
            <w:tcW w:type="dxa" w:w="1425"/>
            <w:vAlign w:val="top"/>
          </w:tcPr>
          <w:p>
            <w:r>
              <w:rPr>
                <w:b/>
                <w:color w:val="2E74B5"/>
                <w:sz w:val="16"/>
              </w:rPr>
              <w:t>CA-9</w:t>
            </w:r>
          </w:p>
        </w:tc>
        <w:tc>
          <w:tcPr>
            <w:tcW w:type="dxa" w:w="1425"/>
            <w:vAlign w:val="top"/>
          </w:tcPr>
          <w:p>
            <w:r>
              <w:rPr>
                <w:sz w:val="16"/>
              </w:rPr>
              <w:t>Fantastic Furniture Autumn Sale: 15-30% off bedroom packages (now Allegro-owned)</w:t>
            </w:r>
          </w:p>
        </w:tc>
        <w:tc>
          <w:tcPr>
            <w:tcW w:type="dxa" w:w="1425"/>
            <w:vAlign w:val="top"/>
          </w:tcPr>
          <w:p>
            <w:r>
              <w:rPr>
                <w:sz w:val="16"/>
              </w:rPr>
              <w:t>GM</w:t>
            </w:r>
          </w:p>
        </w:tc>
        <w:tc>
          <w:tcPr>
            <w:tcW w:type="dxa" w:w="1425"/>
            <w:vAlign w:val="top"/>
          </w:tcPr>
          <w:p>
            <w:r>
              <w:rPr>
                <w:sz w:val="16"/>
              </w:rPr>
              <w:t>Medium</w:t>
            </w:r>
          </w:p>
        </w:tc>
        <w:tc>
          <w:tcPr>
            <w:tcW w:type="dxa" w:w="1425"/>
            <w:vAlign w:val="top"/>
          </w:tcPr>
          <w:p>
            <w:r>
              <w:rPr>
                <w:sz w:val="16"/>
              </w:rPr>
            </w:r>
          </w:p>
        </w:tc>
        <w:tc>
          <w:tcPr>
            <w:tcW w:type="dxa" w:w="1425"/>
            <w:vAlign w:val="top"/>
          </w:tcPr>
          <w:p>
            <w:r>
              <w:rPr>
                <w:sz w:val="16"/>
              </w:rPr>
              <w:t>BHG aggregator</w:t>
            </w:r>
          </w:p>
        </w:tc>
        <w:tc>
          <w:tcPr>
            <w:tcW w:type="dxa" w:w="1425"/>
            <w:vAlign w:val="top"/>
          </w:tcPr>
          <w:p>
            <w:r>
              <w:rPr>
                <w:sz w:val="16"/>
              </w:rPr>
              <w:t>Week of 5 May 2026</w:t>
            </w:r>
          </w:p>
        </w:tc>
      </w:tr>
      <w:tr>
        <w:tc>
          <w:tcPr>
            <w:tcW w:type="dxa" w:w="1425"/>
            <w:vAlign w:val="top"/>
          </w:tcPr>
          <w:p>
            <w:r>
              <w:rPr>
                <w:b/>
                <w:color w:val="808080"/>
                <w:sz w:val="16"/>
              </w:rPr>
              <w:t>CA-10</w:t>
            </w:r>
          </w:p>
        </w:tc>
        <w:tc>
          <w:tcPr>
            <w:tcW w:type="dxa" w:w="1425"/>
            <w:vAlign w:val="top"/>
          </w:tcPr>
          <w:p>
            <w:r>
              <w:rPr>
                <w:color w:val="808080"/>
                <w:sz w:val="16"/>
              </w:rPr>
              <w:t>Super Retail Group LFL +0.4% — no furniture exposure</w:t>
            </w:r>
          </w:p>
        </w:tc>
        <w:tc>
          <w:tcPr>
            <w:tcW w:type="dxa" w:w="1425"/>
            <w:vAlign w:val="top"/>
          </w:tcPr>
          <w:p>
            <w:r>
              <w:rPr>
                <w:color w:val="808080"/>
                <w:sz w:val="16"/>
              </w:rPr>
              <w:t>Ignored</w:t>
            </w:r>
          </w:p>
        </w:tc>
        <w:tc>
          <w:tcPr>
            <w:tcW w:type="dxa" w:w="1425"/>
            <w:vAlign w:val="top"/>
          </w:tcPr>
          <w:p>
            <w:r>
              <w:rPr>
                <w:color w:val="808080"/>
                <w:sz w:val="16"/>
              </w:rPr>
              <w:t>High</w:t>
            </w:r>
          </w:p>
        </w:tc>
        <w:tc>
          <w:tcPr>
            <w:tcW w:type="dxa" w:w="1425"/>
            <w:vAlign w:val="top"/>
          </w:tcPr>
          <w:p>
            <w:r>
              <w:rPr>
                <w:color w:val="808080"/>
                <w:sz w:val="16"/>
              </w:rPr>
              <w:t>No LKG overlap</w:t>
            </w:r>
          </w:p>
        </w:tc>
        <w:tc>
          <w:tcPr>
            <w:tcW w:type="dxa" w:w="1425"/>
            <w:vAlign w:val="top"/>
          </w:tcPr>
          <w:p>
            <w:r>
              <w:rPr>
                <w:color w:val="808080"/>
                <w:sz w:val="16"/>
              </w:rPr>
              <w:t>ASX trading update (SUL)</w:t>
            </w:r>
          </w:p>
        </w:tc>
        <w:tc>
          <w:tcPr>
            <w:tcW w:type="dxa" w:w="1425"/>
            <w:vAlign w:val="top"/>
          </w:tcPr>
          <w:p>
            <w:r>
              <w:rPr>
                <w:color w:val="808080"/>
                <w:sz w:val="16"/>
              </w:rPr>
              <w:t>6 May 2026</w:t>
            </w:r>
          </w:p>
        </w:tc>
      </w:tr>
      <w:tr>
        <w:tc>
          <w:tcPr>
            <w:tcW w:type="dxa" w:w="1425"/>
            <w:vAlign w:val="top"/>
          </w:tcPr>
          <w:p>
            <w:r>
              <w:rPr>
                <w:b/>
                <w:color w:val="1F3664"/>
                <w:sz w:val="16"/>
              </w:rPr>
              <w:t>CA-11</w:t>
            </w:r>
          </w:p>
        </w:tc>
        <w:tc>
          <w:tcPr>
            <w:tcW w:type="dxa" w:w="1425"/>
            <w:vAlign w:val="top"/>
          </w:tcPr>
          <w:p>
            <w:r>
              <w:rPr>
                <w:sz w:val="16"/>
              </w:rPr>
              <w:t>Amart+Freedom combined group (~126 stores, projected $1B+ rev — unverified) eyes ASX IPO 2026; Quadrant PE-backed</w:t>
            </w:r>
          </w:p>
        </w:tc>
        <w:tc>
          <w:tcPr>
            <w:tcW w:type="dxa" w:w="1425"/>
            <w:vAlign w:val="top"/>
          </w:tcPr>
          <w:p>
            <w:r>
              <w:rPr>
                <w:sz w:val="16"/>
              </w:rPr>
              <w:t>Board</w:t>
            </w:r>
          </w:p>
        </w:tc>
        <w:tc>
          <w:tcPr>
            <w:tcW w:type="dxa" w:w="1425"/>
            <w:vAlign w:val="top"/>
          </w:tcPr>
          <w:p>
            <w:r>
              <w:rPr>
                <w:sz w:val="16"/>
              </w:rPr>
              <w:t>Medium</w:t>
            </w:r>
          </w:p>
        </w:tc>
        <w:tc>
          <w:tcPr>
            <w:tcW w:type="dxa" w:w="1425"/>
            <w:vAlign w:val="top"/>
          </w:tcPr>
          <w:p>
            <w:r>
              <w:rPr>
                <w:color w:val="C55000"/>
                <w:sz w:val="16"/>
              </w:rPr>
              <w:t>Revenue figure unverified</w:t>
            </w:r>
          </w:p>
        </w:tc>
        <w:tc>
          <w:tcPr>
            <w:tcW w:type="dxa" w:w="1425"/>
            <w:vAlign w:val="top"/>
          </w:tcPr>
          <w:p>
            <w:r>
              <w:rPr>
                <w:sz w:val="16"/>
              </w:rPr>
              <w:t>Inside Retail; ChannelNews</w:t>
            </w:r>
          </w:p>
        </w:tc>
        <w:tc>
          <w:tcPr>
            <w:tcW w:type="dxa" w:w="1425"/>
            <w:vAlign w:val="top"/>
          </w:tcPr>
          <w:p>
            <w:r>
              <w:rPr>
                <w:sz w:val="16"/>
              </w:rPr>
              <w:t>May 2026</w:t>
            </w:r>
          </w:p>
        </w:tc>
      </w:tr>
      <w:tr>
        <w:tc>
          <w:tcPr>
            <w:tcW w:type="dxa" w:w="1425"/>
            <w:vAlign w:val="top"/>
          </w:tcPr>
          <w:p>
            <w:r>
              <w:rPr>
                <w:b/>
                <w:color w:val="2E74B5"/>
                <w:sz w:val="16"/>
              </w:rPr>
              <w:t>CA-12</w:t>
            </w:r>
          </w:p>
        </w:tc>
        <w:tc>
          <w:tcPr>
            <w:tcW w:type="dxa" w:w="1425"/>
            <w:vAlign w:val="top"/>
          </w:tcPr>
          <w:p>
            <w:r>
              <w:rPr>
                <w:sz w:val="16"/>
              </w:rPr>
              <w:t>Nick Scali NZ expansion: potentially doubling to 13 stores FY26</w:t>
            </w:r>
          </w:p>
        </w:tc>
        <w:tc>
          <w:tcPr>
            <w:tcW w:type="dxa" w:w="1425"/>
            <w:vAlign w:val="top"/>
          </w:tcPr>
          <w:p>
            <w:r>
              <w:rPr>
                <w:sz w:val="16"/>
              </w:rPr>
              <w:t>GM</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ASX filings (NCK)</w:t>
            </w:r>
          </w:p>
        </w:tc>
        <w:tc>
          <w:tcPr>
            <w:tcW w:type="dxa" w:w="1425"/>
            <w:vAlign w:val="top"/>
          </w:tcPr>
          <w:p>
            <w:r>
              <w:rPr>
                <w:sz w:val="16"/>
              </w:rPr>
              <w:t>May 2026</w:t>
            </w:r>
          </w:p>
        </w:tc>
      </w:tr>
      <w:tr>
        <w:tc>
          <w:tcPr>
            <w:tcW w:type="dxa" w:w="1425"/>
            <w:vAlign w:val="top"/>
          </w:tcPr>
          <w:p>
            <w:r>
              <w:rPr>
                <w:b/>
                <w:color w:val="808080"/>
                <w:sz w:val="16"/>
              </w:rPr>
              <w:t>CMP-1</w:t>
            </w:r>
          </w:p>
        </w:tc>
        <w:tc>
          <w:tcPr>
            <w:tcW w:type="dxa" w:w="1425"/>
            <w:vAlign w:val="top"/>
          </w:tcPr>
          <w:p>
            <w:r>
              <w:rPr>
                <w:color w:val="808080"/>
                <w:sz w:val="16"/>
              </w:rPr>
              <w:t>Super Retail Group trading update — no furniture exposure</w:t>
            </w:r>
          </w:p>
        </w:tc>
        <w:tc>
          <w:tcPr>
            <w:tcW w:type="dxa" w:w="1425"/>
            <w:vAlign w:val="top"/>
          </w:tcPr>
          <w:p>
            <w:r>
              <w:rPr>
                <w:color w:val="808080"/>
                <w:sz w:val="16"/>
              </w:rPr>
              <w:t>Ignored</w:t>
            </w:r>
          </w:p>
        </w:tc>
        <w:tc>
          <w:tcPr>
            <w:tcW w:type="dxa" w:w="1425"/>
            <w:vAlign w:val="top"/>
          </w:tcPr>
          <w:p>
            <w:r>
              <w:rPr>
                <w:color w:val="808080"/>
                <w:sz w:val="16"/>
              </w:rPr>
              <w:t>High</w:t>
            </w:r>
          </w:p>
        </w:tc>
        <w:tc>
          <w:tcPr>
            <w:tcW w:type="dxa" w:w="1425"/>
            <w:vAlign w:val="top"/>
          </w:tcPr>
          <w:p>
            <w:r>
              <w:rPr>
                <w:color w:val="808080"/>
                <w:sz w:val="16"/>
              </w:rPr>
              <w:t>No LKG category overlap</w:t>
            </w:r>
          </w:p>
        </w:tc>
        <w:tc>
          <w:tcPr>
            <w:tcW w:type="dxa" w:w="1425"/>
            <w:vAlign w:val="top"/>
          </w:tcPr>
          <w:p>
            <w:r>
              <w:rPr>
                <w:color w:val="808080"/>
                <w:sz w:val="16"/>
              </w:rPr>
              <w:t>ASX (SUL)</w:t>
            </w:r>
          </w:p>
        </w:tc>
        <w:tc>
          <w:tcPr>
            <w:tcW w:type="dxa" w:w="1425"/>
            <w:vAlign w:val="top"/>
          </w:tcPr>
          <w:p>
            <w:r>
              <w:rPr>
                <w:color w:val="808080"/>
                <w:sz w:val="16"/>
              </w:rPr>
              <w:t>6 May 2026</w:t>
            </w:r>
          </w:p>
        </w:tc>
      </w:tr>
      <w:tr>
        <w:tc>
          <w:tcPr>
            <w:tcW w:type="dxa" w:w="1425"/>
            <w:vAlign w:val="top"/>
          </w:tcPr>
          <w:p>
            <w:r>
              <w:rPr>
                <w:b/>
                <w:color w:val="1F3664"/>
                <w:sz w:val="16"/>
              </w:rPr>
              <w:t>CMP-2</w:t>
            </w:r>
          </w:p>
        </w:tc>
        <w:tc>
          <w:tcPr>
            <w:tcW w:type="dxa" w:w="1425"/>
            <w:vAlign w:val="top"/>
          </w:tcPr>
          <w:p>
            <w:r>
              <w:rPr>
                <w:sz w:val="16"/>
              </w:rPr>
              <w:t>Nick Scali EV/EBITDA ~8.7-9.2x (directional, aggregator)</w:t>
            </w:r>
          </w:p>
        </w:tc>
        <w:tc>
          <w:tcPr>
            <w:tcW w:type="dxa" w:w="1425"/>
            <w:vAlign w:val="top"/>
          </w:tcPr>
          <w:p>
            <w:r>
              <w:rPr>
                <w:sz w:val="16"/>
              </w:rPr>
              <w:t>Board</w:t>
            </w:r>
          </w:p>
        </w:tc>
        <w:tc>
          <w:tcPr>
            <w:tcW w:type="dxa" w:w="1425"/>
            <w:vAlign w:val="top"/>
          </w:tcPr>
          <w:p>
            <w:r>
              <w:rPr>
                <w:sz w:val="16"/>
              </w:rPr>
              <w:t>Medium</w:t>
            </w:r>
          </w:p>
        </w:tc>
        <w:tc>
          <w:tcPr>
            <w:tcW w:type="dxa" w:w="1425"/>
            <w:vAlign w:val="top"/>
          </w:tcPr>
          <w:p>
            <w:r>
              <w:rPr>
                <w:color w:val="C55000"/>
                <w:sz w:val="16"/>
              </w:rPr>
              <w:t>Aggregator-sourced — not broker-verified</w:t>
            </w:r>
          </w:p>
        </w:tc>
        <w:tc>
          <w:tcPr>
            <w:tcW w:type="dxa" w:w="1425"/>
            <w:vAlign w:val="top"/>
          </w:tcPr>
          <w:p>
            <w:r>
              <w:rPr>
                <w:sz w:val="16"/>
              </w:rPr>
              <w:t>Market aggregators</w:t>
            </w:r>
          </w:p>
        </w:tc>
        <w:tc>
          <w:tcPr>
            <w:tcW w:type="dxa" w:w="1425"/>
            <w:vAlign w:val="top"/>
          </w:tcPr>
          <w:p>
            <w:r>
              <w:rPr>
                <w:sz w:val="16"/>
              </w:rPr>
              <w:t>May 2026</w:t>
            </w:r>
          </w:p>
        </w:tc>
      </w:tr>
      <w:tr>
        <w:tc>
          <w:tcPr>
            <w:tcW w:type="dxa" w:w="1425"/>
            <w:vAlign w:val="top"/>
          </w:tcPr>
          <w:p>
            <w:r>
              <w:rPr>
                <w:b/>
                <w:color w:val="1F3664"/>
                <w:sz w:val="16"/>
              </w:rPr>
              <w:t>CMP-3</w:t>
            </w:r>
          </w:p>
        </w:tc>
        <w:tc>
          <w:tcPr>
            <w:tcW w:type="dxa" w:w="1425"/>
            <w:vAlign w:val="top"/>
          </w:tcPr>
          <w:p>
            <w:r>
              <w:rPr>
                <w:sz w:val="16"/>
              </w:rPr>
              <w:t>Harvey Norman EV/EBITDA ~8-10x (distorted by property assets)</w:t>
            </w:r>
          </w:p>
        </w:tc>
        <w:tc>
          <w:tcPr>
            <w:tcW w:type="dxa" w:w="1425"/>
            <w:vAlign w:val="top"/>
          </w:tcPr>
          <w:p>
            <w:r>
              <w:rPr>
                <w:sz w:val="16"/>
              </w:rPr>
              <w:t>Board</w:t>
            </w:r>
          </w:p>
        </w:tc>
        <w:tc>
          <w:tcPr>
            <w:tcW w:type="dxa" w:w="1425"/>
            <w:vAlign w:val="top"/>
          </w:tcPr>
          <w:p>
            <w:r>
              <w:rPr>
                <w:sz w:val="16"/>
              </w:rPr>
              <w:t>Medium</w:t>
            </w:r>
          </w:p>
        </w:tc>
        <w:tc>
          <w:tcPr>
            <w:tcW w:type="dxa" w:w="1425"/>
            <w:vAlign w:val="top"/>
          </w:tcPr>
          <w:p>
            <w:r>
              <w:rPr>
                <w:color w:val="C55000"/>
                <w:sz w:val="16"/>
              </w:rPr>
              <w:t>Property distortion; aggregator-sourced</w:t>
            </w:r>
          </w:p>
        </w:tc>
        <w:tc>
          <w:tcPr>
            <w:tcW w:type="dxa" w:w="1425"/>
            <w:vAlign w:val="top"/>
          </w:tcPr>
          <w:p>
            <w:r>
              <w:rPr>
                <w:sz w:val="16"/>
              </w:rPr>
              <w:t>Market aggregators</w:t>
            </w:r>
          </w:p>
        </w:tc>
        <w:tc>
          <w:tcPr>
            <w:tcW w:type="dxa" w:w="1425"/>
            <w:vAlign w:val="top"/>
          </w:tcPr>
          <w:p>
            <w:r>
              <w:rPr>
                <w:sz w:val="16"/>
              </w:rPr>
              <w:t>May 2026</w:t>
            </w:r>
          </w:p>
        </w:tc>
      </w:tr>
      <w:tr>
        <w:tc>
          <w:tcPr>
            <w:tcW w:type="dxa" w:w="1425"/>
            <w:vAlign w:val="top"/>
          </w:tcPr>
          <w:p>
            <w:r>
              <w:rPr>
                <w:b/>
                <w:color w:val="1F3664"/>
                <w:sz w:val="16"/>
              </w:rPr>
              <w:t>CMP-4</w:t>
            </w:r>
          </w:p>
        </w:tc>
        <w:tc>
          <w:tcPr>
            <w:tcW w:type="dxa" w:w="1425"/>
            <w:vAlign w:val="top"/>
          </w:tcPr>
          <w:p>
            <w:r>
              <w:rPr>
                <w:sz w:val="16"/>
              </w:rPr>
              <w:t>Temple &amp; Webster EV/EBITDA ~27.2x (online growth premium)</w:t>
            </w:r>
          </w:p>
        </w:tc>
        <w:tc>
          <w:tcPr>
            <w:tcW w:type="dxa" w:w="1425"/>
            <w:vAlign w:val="top"/>
          </w:tcPr>
          <w:p>
            <w:r>
              <w:rPr>
                <w:sz w:val="16"/>
              </w:rPr>
              <w:t>Board</w:t>
            </w:r>
          </w:p>
        </w:tc>
        <w:tc>
          <w:tcPr>
            <w:tcW w:type="dxa" w:w="1425"/>
            <w:vAlign w:val="top"/>
          </w:tcPr>
          <w:p>
            <w:r>
              <w:rPr>
                <w:sz w:val="16"/>
              </w:rPr>
              <w:t>Medium</w:t>
            </w:r>
          </w:p>
        </w:tc>
        <w:tc>
          <w:tcPr>
            <w:tcW w:type="dxa" w:w="1425"/>
            <w:vAlign w:val="top"/>
          </w:tcPr>
          <w:p>
            <w:r>
              <w:rPr>
                <w:color w:val="C55000"/>
                <w:sz w:val="16"/>
              </w:rPr>
              <w:t>Aggregator-sourced — not broker-verified</w:t>
            </w:r>
          </w:p>
        </w:tc>
        <w:tc>
          <w:tcPr>
            <w:tcW w:type="dxa" w:w="1425"/>
            <w:vAlign w:val="top"/>
          </w:tcPr>
          <w:p>
            <w:r>
              <w:rPr>
                <w:sz w:val="16"/>
              </w:rPr>
              <w:t>Market aggregators</w:t>
            </w:r>
          </w:p>
        </w:tc>
        <w:tc>
          <w:tcPr>
            <w:tcW w:type="dxa" w:w="1425"/>
            <w:vAlign w:val="top"/>
          </w:tcPr>
          <w:p>
            <w:r>
              <w:rPr>
                <w:sz w:val="16"/>
              </w:rPr>
              <w:t>May 2026</w:t>
            </w:r>
          </w:p>
        </w:tc>
      </w:tr>
      <w:tr>
        <w:tc>
          <w:tcPr>
            <w:tcW w:type="dxa" w:w="1425"/>
            <w:vAlign w:val="top"/>
          </w:tcPr>
          <w:p>
            <w:r>
              <w:rPr>
                <w:b/>
                <w:color w:val="1F3664"/>
                <w:sz w:val="16"/>
              </w:rPr>
              <w:t>CMP-5</w:t>
            </w:r>
          </w:p>
        </w:tc>
        <w:tc>
          <w:tcPr>
            <w:tcW w:type="dxa" w:w="1425"/>
            <w:vAlign w:val="top"/>
          </w:tcPr>
          <w:p>
            <w:r>
              <w:rPr>
                <w:sz w:val="16"/>
              </w:rPr>
              <w:t>LKG implied private reference range: ~6.0-7.5x EV/EBITDA (20-30% illiquidity discount vs NCK)</w:t>
            </w:r>
          </w:p>
        </w:tc>
        <w:tc>
          <w:tcPr>
            <w:tcW w:type="dxa" w:w="1425"/>
            <w:vAlign w:val="top"/>
          </w:tcPr>
          <w:p>
            <w:r>
              <w:rPr>
                <w:sz w:val="16"/>
              </w:rPr>
              <w:t>Board</w:t>
            </w:r>
          </w:p>
        </w:tc>
        <w:tc>
          <w:tcPr>
            <w:tcW w:type="dxa" w:w="1425"/>
            <w:vAlign w:val="top"/>
          </w:tcPr>
          <w:p>
            <w:r>
              <w:rPr>
                <w:sz w:val="16"/>
              </w:rPr>
              <w:t>Low-Medium</w:t>
            </w:r>
          </w:p>
        </w:tc>
        <w:tc>
          <w:tcPr>
            <w:tcW w:type="dxa" w:w="1425"/>
            <w:vAlign w:val="top"/>
          </w:tcPr>
          <w:p>
            <w:r>
              <w:rPr>
                <w:color w:val="C55000"/>
                <w:sz w:val="16"/>
              </w:rPr>
              <w:t>Directional only. Requires independent verification before any transaction.</w:t>
            </w:r>
          </w:p>
        </w:tc>
        <w:tc>
          <w:tcPr>
            <w:tcW w:type="dxa" w:w="1425"/>
            <w:vAlign w:val="top"/>
          </w:tcPr>
          <w:p>
            <w:r>
              <w:rPr>
                <w:sz w:val="16"/>
              </w:rPr>
              <w:t>Internal derivation from aggregator comps</w:t>
            </w:r>
          </w:p>
        </w:tc>
        <w:tc>
          <w:tcPr>
            <w:tcW w:type="dxa" w:w="1425"/>
            <w:vAlign w:val="top"/>
          </w:tcPr>
          <w:p>
            <w:r>
              <w:rPr>
                <w:sz w:val="16"/>
              </w:rPr>
              <w:t>May 2026</w:t>
            </w:r>
          </w:p>
        </w:tc>
      </w:tr>
      <w:tr>
        <w:tc>
          <w:tcPr>
            <w:tcW w:type="dxa" w:w="1425"/>
            <w:vAlign w:val="top"/>
          </w:tcPr>
          <w:p>
            <w:r>
              <w:rPr>
                <w:b/>
                <w:color w:val="1F3664"/>
                <w:sz w:val="16"/>
              </w:rPr>
              <w:t>CMP-6</w:t>
            </w:r>
          </w:p>
        </w:tc>
        <w:tc>
          <w:tcPr>
            <w:tcW w:type="dxa" w:w="1425"/>
            <w:vAlign w:val="top"/>
          </w:tcPr>
          <w:p>
            <w:r>
              <w:rPr>
                <w:sz w:val="16"/>
              </w:rPr>
              <w:t>Temple &amp; Webster analyst fair value cut to $7.30 (4 May); +5.6% move 7 May (catalyst unconfirmed)</w:t>
            </w:r>
          </w:p>
        </w:tc>
        <w:tc>
          <w:tcPr>
            <w:tcW w:type="dxa" w:w="1425"/>
            <w:vAlign w:val="top"/>
          </w:tcPr>
          <w:p>
            <w:r>
              <w:rPr>
                <w:sz w:val="16"/>
              </w:rPr>
              <w:t>Board</w:t>
            </w:r>
          </w:p>
        </w:tc>
        <w:tc>
          <w:tcPr>
            <w:tcW w:type="dxa" w:w="1425"/>
            <w:vAlign w:val="top"/>
          </w:tcPr>
          <w:p>
            <w:r>
              <w:rPr>
                <w:sz w:val="16"/>
              </w:rPr>
              <w:t>Medium</w:t>
            </w:r>
          </w:p>
        </w:tc>
        <w:tc>
          <w:tcPr>
            <w:tcW w:type="dxa" w:w="1425"/>
            <w:vAlign w:val="top"/>
          </w:tcPr>
          <w:p>
            <w:r>
              <w:rPr>
                <w:color w:val="C55000"/>
                <w:sz w:val="16"/>
              </w:rPr>
              <w:t>7 May catalyst unconfirmed</w:t>
            </w:r>
          </w:p>
        </w:tc>
        <w:tc>
          <w:tcPr>
            <w:tcW w:type="dxa" w:w="1425"/>
            <w:vAlign w:val="top"/>
          </w:tcPr>
          <w:p>
            <w:r>
              <w:rPr>
                <w:sz w:val="16"/>
              </w:rPr>
              <w:t>Multiple analyst sources; ASX</w:t>
            </w:r>
          </w:p>
        </w:tc>
        <w:tc>
          <w:tcPr>
            <w:tcW w:type="dxa" w:w="1425"/>
            <w:vAlign w:val="top"/>
          </w:tcPr>
          <w:p>
            <w:r>
              <w:rPr>
                <w:sz w:val="16"/>
              </w:rPr>
              <w:t>4-7 May 2026</w:t>
            </w:r>
          </w:p>
        </w:tc>
      </w:tr>
      <w:tr>
        <w:tc>
          <w:tcPr>
            <w:tcW w:type="dxa" w:w="1425"/>
            <w:vAlign w:val="top"/>
          </w:tcPr>
          <w:p>
            <w:r>
              <w:rPr>
                <w:b/>
                <w:color w:val="2E74B5"/>
                <w:sz w:val="16"/>
              </w:rPr>
              <w:t>IG-1</w:t>
            </w:r>
          </w:p>
        </w:tc>
        <w:tc>
          <w:tcPr>
            <w:tcW w:type="dxa" w:w="1425"/>
            <w:vAlign w:val="top"/>
          </w:tcPr>
          <w:p>
            <w:r>
              <w:rPr>
                <w:sz w:val="16"/>
              </w:rPr>
              <w:t>Recalculate and hard-floor promotional margins before 14 May — foam up ~20%, freight +$400-900/40ft</w:t>
            </w:r>
          </w:p>
        </w:tc>
        <w:tc>
          <w:tcPr>
            <w:tcW w:type="dxa" w:w="1425"/>
            <w:vAlign w:val="top"/>
          </w:tcPr>
          <w:p>
            <w:r>
              <w:rPr>
                <w:sz w:val="16"/>
              </w:rPr>
              <w:t>GM</w:t>
            </w:r>
          </w:p>
        </w:tc>
        <w:tc>
          <w:tcPr>
            <w:tcW w:type="dxa" w:w="1425"/>
            <w:vAlign w:val="top"/>
          </w:tcPr>
          <w:p>
            <w:r>
              <w:rPr>
                <w:sz w:val="16"/>
              </w:rPr>
              <w:t>High</w:t>
            </w:r>
          </w:p>
        </w:tc>
        <w:tc>
          <w:tcPr>
            <w:tcW w:type="dxa" w:w="1425"/>
            <w:vAlign w:val="top"/>
          </w:tcPr>
          <w:p>
            <w:r>
              <w:rPr>
                <w:color w:val="C55000"/>
                <w:sz w:val="16"/>
              </w:rPr>
              <w:t>Foam cost is industry estimate; confirm contracted LKG rate</w:t>
            </w:r>
          </w:p>
        </w:tc>
        <w:tc>
          <w:tcPr>
            <w:tcW w:type="dxa" w:w="1425"/>
            <w:vAlign w:val="top"/>
          </w:tcPr>
          <w:p>
            <w:r>
              <w:rPr>
                <w:sz w:val="16"/>
              </w:rPr>
              <w:t>Drewry WCI; EpicSourcing; Adairs H1 FY26</w:t>
            </w:r>
          </w:p>
        </w:tc>
        <w:tc>
          <w:tcPr>
            <w:tcW w:type="dxa" w:w="1425"/>
            <w:vAlign w:val="top"/>
          </w:tcPr>
          <w:p>
            <w:r>
              <w:rPr>
                <w:sz w:val="16"/>
              </w:rPr>
              <w:t>May 2026</w:t>
            </w:r>
          </w:p>
        </w:tc>
      </w:tr>
      <w:tr>
        <w:tc>
          <w:tcPr>
            <w:tcW w:type="dxa" w:w="1425"/>
            <w:vAlign w:val="top"/>
          </w:tcPr>
          <w:p>
            <w:r>
              <w:rPr>
                <w:b/>
                <w:color w:val="2E74B5"/>
                <w:sz w:val="16"/>
              </w:rPr>
              <w:t>IG-2</w:t>
            </w:r>
          </w:p>
        </w:tc>
        <w:tc>
          <w:tcPr>
            <w:tcW w:type="dxa" w:w="1425"/>
            <w:vAlign w:val="top"/>
          </w:tcPr>
          <w:p>
            <w:r>
              <w:rPr>
                <w:sz w:val="16"/>
              </w:rPr>
              <w:t>Post-Mother's Day service-led conversion activation 15-31 May — brief marketing by 9 May</w:t>
            </w:r>
          </w:p>
        </w:tc>
        <w:tc>
          <w:tcPr>
            <w:tcW w:type="dxa" w:w="1425"/>
            <w:vAlign w:val="top"/>
          </w:tcPr>
          <w:p>
            <w:r>
              <w:rPr>
                <w:sz w:val="16"/>
              </w:rPr>
              <w:t>GM</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Competitive calendar analysis</w:t>
            </w:r>
          </w:p>
        </w:tc>
        <w:tc>
          <w:tcPr>
            <w:tcW w:type="dxa" w:w="1425"/>
            <w:vAlign w:val="top"/>
          </w:tcPr>
          <w:p>
            <w:r>
              <w:rPr>
                <w:sz w:val="16"/>
              </w:rPr>
              <w:t>May 2026</w:t>
            </w:r>
          </w:p>
        </w:tc>
      </w:tr>
      <w:tr>
        <w:tc>
          <w:tcPr>
            <w:tcW w:type="dxa" w:w="1425"/>
            <w:vAlign w:val="top"/>
          </w:tcPr>
          <w:p>
            <w:r>
              <w:rPr>
                <w:b/>
                <w:color w:val="378660"/>
                <w:sz w:val="16"/>
              </w:rPr>
              <w:t>IG-3</w:t>
            </w:r>
          </w:p>
        </w:tc>
        <w:tc>
          <w:tcPr>
            <w:tcW w:type="dxa" w:w="1425"/>
            <w:vAlign w:val="top"/>
          </w:tcPr>
          <w:p>
            <w:r>
              <w:rPr>
                <w:sz w:val="16"/>
              </w:rPr>
              <w:t>Formal minimum GM floor policy for all portfolio companies before EOFY — table June Board</w:t>
            </w:r>
          </w:p>
        </w:tc>
        <w:tc>
          <w:tcPr>
            <w:tcW w:type="dxa" w:w="1425"/>
            <w:vAlign w:val="top"/>
          </w:tcPr>
          <w:p>
            <w:r>
              <w:rPr>
                <w:sz w:val="16"/>
              </w:rPr>
              <w:t>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NCK vs ADH H1 FY26 comparison</w:t>
            </w:r>
          </w:p>
        </w:tc>
        <w:tc>
          <w:tcPr>
            <w:tcW w:type="dxa" w:w="1425"/>
            <w:vAlign w:val="top"/>
          </w:tcPr>
          <w:p>
            <w:r>
              <w:rPr>
                <w:sz w:val="16"/>
              </w:rPr>
              <w:t>May 2026</w:t>
            </w:r>
          </w:p>
        </w:tc>
      </w:tr>
      <w:tr>
        <w:tc>
          <w:tcPr>
            <w:tcW w:type="dxa" w:w="1425"/>
            <w:vAlign w:val="top"/>
          </w:tcPr>
          <w:p>
            <w:r>
              <w:rPr>
                <w:b/>
                <w:color w:val="378660"/>
                <w:sz w:val="16"/>
              </w:rPr>
              <w:t>IG-4</w:t>
            </w:r>
          </w:p>
        </w:tc>
        <w:tc>
          <w:tcPr>
            <w:tcW w:type="dxa" w:w="1425"/>
            <w:vAlign w:val="top"/>
          </w:tcPr>
          <w:p>
            <w:r>
              <w:rPr>
                <w:sz w:val="16"/>
              </w:rPr>
              <w:t>Commission competitive positioning brief on Allegro/Fantastic Furniture acquisition — table June Board</w:t>
            </w:r>
          </w:p>
        </w:tc>
        <w:tc>
          <w:tcPr>
            <w:tcW w:type="dxa" w:w="1425"/>
            <w:vAlign w:val="top"/>
          </w:tcPr>
          <w:p>
            <w:r>
              <w:rPr>
                <w:sz w:val="16"/>
              </w:rPr>
              <w:t>Both</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Inside Retail; Allegro Funds announcement</w:t>
            </w:r>
          </w:p>
        </w:tc>
        <w:tc>
          <w:tcPr>
            <w:tcW w:type="dxa" w:w="1425"/>
            <w:vAlign w:val="top"/>
          </w:tcPr>
          <w:p>
            <w:r>
              <w:rPr>
                <w:sz w:val="16"/>
              </w:rPr>
              <w:t>May 2026</w:t>
            </w:r>
          </w:p>
        </w:tc>
      </w:tr>
      <w:tr>
        <w:tc>
          <w:tcPr>
            <w:tcW w:type="dxa" w:w="1425"/>
            <w:vAlign w:val="top"/>
          </w:tcPr>
          <w:p>
            <w:r>
              <w:rPr>
                <w:b/>
                <w:color w:val="1F3664"/>
                <w:sz w:val="16"/>
              </w:rPr>
              <w:t>IG-5</w:t>
            </w:r>
          </w:p>
        </w:tc>
        <w:tc>
          <w:tcPr>
            <w:tcW w:type="dxa" w:w="1425"/>
            <w:vAlign w:val="top"/>
          </w:tcPr>
          <w:p>
            <w:r>
              <w:rPr>
                <w:sz w:val="16"/>
              </w:rPr>
              <w:t>Revenue scenario framework for rate-cycle downside — three scenarios for June Board</w:t>
            </w:r>
          </w:p>
        </w:tc>
        <w:tc>
          <w:tcPr>
            <w:tcW w:type="dxa" w:w="1425"/>
            <w:vAlign w:val="top"/>
          </w:tcPr>
          <w:p>
            <w:r>
              <w:rPr>
                <w:sz w:val="16"/>
              </w:rPr>
              <w:t>Board</w:t>
            </w:r>
          </w:p>
        </w:tc>
        <w:tc>
          <w:tcPr>
            <w:tcW w:type="dxa" w:w="1425"/>
            <w:vAlign w:val="top"/>
          </w:tcPr>
          <w:p>
            <w:r>
              <w:rPr>
                <w:sz w:val="16"/>
              </w:rPr>
              <w:t>Very High</w:t>
            </w:r>
          </w:p>
        </w:tc>
        <w:tc>
          <w:tcPr>
            <w:tcW w:type="dxa" w:w="1425"/>
            <w:vAlign w:val="top"/>
          </w:tcPr>
          <w:p>
            <w:r>
              <w:rPr>
                <w:sz w:val="16"/>
              </w:rPr>
            </w:r>
          </w:p>
        </w:tc>
        <w:tc>
          <w:tcPr>
            <w:tcW w:type="dxa" w:w="1425"/>
            <w:vAlign w:val="top"/>
          </w:tcPr>
          <w:p>
            <w:r>
              <w:rPr>
                <w:sz w:val="16"/>
              </w:rPr>
              <w:t>RBA; ANZ-Roy Morgan; HVN LFL data</w:t>
            </w:r>
          </w:p>
        </w:tc>
        <w:tc>
          <w:tcPr>
            <w:tcW w:type="dxa" w:w="1425"/>
            <w:vAlign w:val="top"/>
          </w:tcPr>
          <w:p>
            <w:r>
              <w:rPr>
                <w:sz w:val="16"/>
              </w:rPr>
              <w:t>May 2026</w:t>
            </w:r>
          </w:p>
        </w:tc>
      </w:tr>
      <w:tr>
        <w:tc>
          <w:tcPr>
            <w:tcW w:type="dxa" w:w="1425"/>
            <w:vAlign w:val="top"/>
          </w:tcPr>
          <w:p>
            <w:r>
              <w:rPr>
                <w:b/>
                <w:color w:val="2E74B5"/>
                <w:sz w:val="16"/>
              </w:rPr>
              <w:t>IG-6</w:t>
            </w:r>
          </w:p>
        </w:tc>
        <w:tc>
          <w:tcPr>
            <w:tcW w:type="dxa" w:w="1425"/>
            <w:vAlign w:val="top"/>
          </w:tcPr>
          <w:p>
            <w:r>
              <w:rPr>
                <w:sz w:val="16"/>
              </w:rPr>
              <w:t>Lock Q3 2026 freight bookings immediately — ocean freight and AusPost surcharges live</w:t>
            </w:r>
          </w:p>
        </w:tc>
        <w:tc>
          <w:tcPr>
            <w:tcW w:type="dxa" w:w="1425"/>
            <w:vAlign w:val="top"/>
          </w:tcPr>
          <w:p>
            <w:r>
              <w:rPr>
                <w:sz w:val="16"/>
              </w:rPr>
              <w:t>GM</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Drewry WCI; EpicSourcing; Australia Post</w:t>
            </w:r>
          </w:p>
        </w:tc>
        <w:tc>
          <w:tcPr>
            <w:tcW w:type="dxa" w:w="1425"/>
            <w:vAlign w:val="top"/>
          </w:tcPr>
          <w:p>
            <w:r>
              <w:rPr>
                <w:sz w:val="16"/>
              </w:rPr>
              <w:t>30 Apr - 5 May 2026</w:t>
            </w:r>
          </w:p>
        </w:tc>
      </w:tr>
      <w:tr>
        <w:tc>
          <w:tcPr>
            <w:tcW w:type="dxa" w:w="1425"/>
            <w:vAlign w:val="top"/>
          </w:tcPr>
          <w:p>
            <w:r>
              <w:rPr>
                <w:b/>
                <w:color w:val="378660"/>
                <w:sz w:val="16"/>
              </w:rPr>
              <w:t>IG-7</w:t>
            </w:r>
          </w:p>
        </w:tc>
        <w:tc>
          <w:tcPr>
            <w:tcW w:type="dxa" w:w="1425"/>
            <w:vAlign w:val="top"/>
          </w:tcPr>
          <w:p>
            <w:r>
              <w:rPr>
                <w:sz w:val="16"/>
              </w:rPr>
              <w:t>G&amp;G USD contract exposure and FX hedging review — AUD/USD +13% YoY at 0.7242</w:t>
            </w:r>
          </w:p>
        </w:tc>
        <w:tc>
          <w:tcPr>
            <w:tcW w:type="dxa" w:w="1425"/>
            <w:vAlign w:val="top"/>
          </w:tcPr>
          <w:p>
            <w:r>
              <w:rPr>
                <w:sz w:val="16"/>
              </w:rPr>
              <w:t>Both</w:t>
            </w:r>
          </w:p>
        </w:tc>
        <w:tc>
          <w:tcPr>
            <w:tcW w:type="dxa" w:w="1425"/>
            <w:vAlign w:val="top"/>
          </w:tcPr>
          <w:p>
            <w:r>
              <w:rPr>
                <w:sz w:val="16"/>
              </w:rPr>
              <w:t>Medium</w:t>
            </w:r>
          </w:p>
        </w:tc>
        <w:tc>
          <w:tcPr>
            <w:tcW w:type="dxa" w:w="1425"/>
            <w:vAlign w:val="top"/>
          </w:tcPr>
          <w:p>
            <w:r>
              <w:rPr>
                <w:color w:val="C55000"/>
                <w:sz w:val="16"/>
              </w:rPr>
              <w:t>AUD/USD rate from aggregator — verify with treasury</w:t>
            </w:r>
          </w:p>
        </w:tc>
        <w:tc>
          <w:tcPr>
            <w:tcW w:type="dxa" w:w="1425"/>
            <w:vAlign w:val="top"/>
          </w:tcPr>
          <w:p>
            <w:r>
              <w:rPr>
                <w:sz w:val="16"/>
              </w:rPr>
              <w:t>Market aggregators</w:t>
            </w:r>
          </w:p>
        </w:tc>
        <w:tc>
          <w:tcPr>
            <w:tcW w:type="dxa" w:w="1425"/>
            <w:vAlign w:val="top"/>
          </w:tcPr>
          <w:p>
            <w:r>
              <w:rPr>
                <w:sz w:val="16"/>
              </w:rPr>
              <w:t>May 2026</w:t>
            </w:r>
          </w:p>
        </w:tc>
      </w:tr>
      <w:tr>
        <w:tc>
          <w:tcPr>
            <w:tcW w:type="dxa" w:w="1425"/>
            <w:vAlign w:val="top"/>
          </w:tcPr>
          <w:p>
            <w:r>
              <w:rPr>
                <w:b/>
                <w:color w:val="1F3664"/>
                <w:sz w:val="16"/>
              </w:rPr>
              <w:t>IG-8</w:t>
            </w:r>
          </w:p>
        </w:tc>
        <w:tc>
          <w:tcPr>
            <w:tcW w:type="dxa" w:w="1425"/>
            <w:vAlign w:val="top"/>
          </w:tcPr>
          <w:p>
            <w:r>
              <w:rPr>
                <w:sz w:val="16"/>
              </w:rPr>
              <w:t>Online investment threshold — benchmark vs Temple &amp; Webster trajectory; capital allocation framing for Board</w:t>
            </w:r>
          </w:p>
        </w:tc>
        <w:tc>
          <w:tcPr>
            <w:tcW w:type="dxa" w:w="1425"/>
            <w:vAlign w:val="top"/>
          </w:tcPr>
          <w:p>
            <w:r>
              <w:rPr>
                <w:sz w:val="16"/>
              </w:rPr>
              <w:t>Board</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TPW H1 FY26 filings; market share data</w:t>
            </w:r>
          </w:p>
        </w:tc>
        <w:tc>
          <w:tcPr>
            <w:tcW w:type="dxa" w:w="1425"/>
            <w:vAlign w:val="top"/>
          </w:tcPr>
          <w:p>
            <w:r>
              <w:rPr>
                <w:sz w:val="16"/>
              </w:rPr>
              <w:t>May 2026</w:t>
            </w:r>
          </w:p>
        </w:tc>
      </w:tr>
      <w:tr>
        <w:tc>
          <w:tcPr>
            <w:tcW w:type="dxa" w:w="1425"/>
            <w:vAlign w:val="top"/>
          </w:tcPr>
          <w:p>
            <w:r>
              <w:rPr>
                <w:b/>
                <w:color w:val="378660"/>
                <w:sz w:val="16"/>
              </w:rPr>
              <w:t>IG-9</w:t>
            </w:r>
          </w:p>
        </w:tc>
        <w:tc>
          <w:tcPr>
            <w:tcW w:type="dxa" w:w="1425"/>
            <w:vAlign w:val="top"/>
          </w:tcPr>
          <w:p>
            <w:r>
              <w:rPr>
                <w:sz w:val="16"/>
              </w:rPr>
              <w:t>Housing demand readiness plan 2026-27 wave — franchise capacity, Future Sleep alignment, inventory planning</w:t>
            </w:r>
          </w:p>
        </w:tc>
        <w:tc>
          <w:tcPr>
            <w:tcW w:type="dxa" w:w="1425"/>
            <w:vAlign w:val="top"/>
          </w:tcPr>
          <w:p>
            <w:r>
              <w:rPr>
                <w:sz w:val="16"/>
              </w:rPr>
              <w:t>Both</w:t>
            </w:r>
          </w:p>
        </w:tc>
        <w:tc>
          <w:tcPr>
            <w:tcW w:type="dxa" w:w="1425"/>
            <w:vAlign w:val="top"/>
          </w:tcPr>
          <w:p>
            <w:r>
              <w:rPr>
                <w:sz w:val="16"/>
              </w:rPr>
              <w:t>High</w:t>
            </w:r>
          </w:p>
        </w:tc>
        <w:tc>
          <w:tcPr>
            <w:tcW w:type="dxa" w:w="1425"/>
            <w:vAlign w:val="top"/>
          </w:tcPr>
          <w:p>
            <w:r>
              <w:rPr>
                <w:sz w:val="16"/>
              </w:rPr>
            </w:r>
          </w:p>
        </w:tc>
        <w:tc>
          <w:tcPr>
            <w:tcW w:type="dxa" w:w="1425"/>
            <w:vAlign w:val="top"/>
          </w:tcPr>
          <w:p>
            <w:r>
              <w:rPr>
                <w:sz w:val="16"/>
              </w:rPr>
              <w:t>ABS dwelling commencements; Cotality</w:t>
            </w:r>
          </w:p>
        </w:tc>
        <w:tc>
          <w:tcPr>
            <w:tcW w:type="dxa" w:w="1425"/>
            <w:vAlign w:val="top"/>
          </w:tcPr>
          <w:p>
            <w:r>
              <w:rPr>
                <w:sz w:val="16"/>
              </w:rPr>
              <w:t>May 2026</w:t>
            </w:r>
          </w:p>
        </w:tc>
      </w:tr>
      <w:tr>
        <w:tc>
          <w:tcPr>
            <w:tcW w:type="dxa" w:w="1425"/>
            <w:vAlign w:val="top"/>
          </w:tcPr>
          <w:p>
            <w:r>
              <w:rPr>
                <w:b/>
                <w:color w:val="2E74B5"/>
                <w:sz w:val="16"/>
              </w:rPr>
              <w:t>IG-10</w:t>
            </w:r>
          </w:p>
        </w:tc>
        <w:tc>
          <w:tcPr>
            <w:tcW w:type="dxa" w:w="1425"/>
            <w:vAlign w:val="top"/>
          </w:tcPr>
          <w:p>
            <w:r>
              <w:rPr>
                <w:sz w:val="16"/>
              </w:rPr>
              <w:t>Benchmark Snooze consumer finance offer; consider BNPL mechanic for EOFY — within two weeks</w:t>
            </w:r>
          </w:p>
        </w:tc>
        <w:tc>
          <w:tcPr>
            <w:tcW w:type="dxa" w:w="1425"/>
            <w:vAlign w:val="top"/>
          </w:tcPr>
          <w:p>
            <w:r>
              <w:rPr>
                <w:sz w:val="16"/>
              </w:rPr>
              <w:t>GM</w:t>
            </w:r>
          </w:p>
        </w:tc>
        <w:tc>
          <w:tcPr>
            <w:tcW w:type="dxa" w:w="1425"/>
            <w:vAlign w:val="top"/>
          </w:tcPr>
          <w:p>
            <w:r>
              <w:rPr>
                <w:sz w:val="16"/>
              </w:rPr>
              <w:t>Medium</w:t>
            </w:r>
          </w:p>
        </w:tc>
        <w:tc>
          <w:tcPr>
            <w:tcW w:type="dxa" w:w="1425"/>
            <w:vAlign w:val="top"/>
          </w:tcPr>
          <w:p>
            <w:r>
              <w:rPr>
                <w:color w:val="C55000"/>
                <w:sz w:val="16"/>
              </w:rPr>
              <w:t>Current Snooze finance terms require internal confirmation</w:t>
            </w:r>
          </w:p>
        </w:tc>
        <w:tc>
          <w:tcPr>
            <w:tcW w:type="dxa" w:w="1425"/>
            <w:vAlign w:val="top"/>
          </w:tcPr>
          <w:p>
            <w:r>
              <w:rPr>
                <w:sz w:val="16"/>
              </w:rPr>
              <w:t>Competitor website review; ANZ-Roy Morgan</w:t>
            </w:r>
          </w:p>
        </w:tc>
        <w:tc>
          <w:tcPr>
            <w:tcW w:type="dxa" w:w="1425"/>
            <w:vAlign w:val="top"/>
          </w:tcPr>
          <w:p>
            <w:r>
              <w:rPr>
                <w:sz w:val="16"/>
              </w:rPr>
              <w:t>May 2026</w:t>
            </w:r>
          </w:p>
        </w:tc>
      </w:tr>
    </w:tbl>
    <w:p/>
    <w:p>
      <w:pPr>
        <w:pStyle w:val="Heading1"/>
      </w:pPr>
      <w:r>
        <w:rPr>
          <w:b/>
          <w:color w:val="1F3664"/>
          <w:sz w:val="32"/>
        </w:rPr>
        <w:t>2. Ignored Items — Reasons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664"/>
          </w:tcPr>
          <w:p>
            <w:r/>
            <w:r>
              <w:rPr>
                <w:b/>
                <w:color w:val="FFFFFF"/>
                <w:sz w:val="18"/>
              </w:rPr>
              <w:t>ID</w:t>
            </w:r>
          </w:p>
        </w:tc>
        <w:tc>
          <w:tcPr>
            <w:tcW w:type="dxa" w:w="3324"/>
            <w:shd w:val="clear" w:color="auto" w:fill="1F3664"/>
          </w:tcPr>
          <w:p>
            <w:r/>
            <w:r>
              <w:rPr>
                <w:b/>
                <w:color w:val="FFFFFF"/>
                <w:sz w:val="18"/>
              </w:rPr>
              <w:t>Item</w:t>
            </w:r>
          </w:p>
        </w:tc>
        <w:tc>
          <w:tcPr>
            <w:tcW w:type="dxa" w:w="3324"/>
            <w:shd w:val="clear" w:color="auto" w:fill="1F3664"/>
          </w:tcPr>
          <w:p>
            <w:r/>
            <w:r>
              <w:rPr>
                <w:b/>
                <w:color w:val="FFFFFF"/>
                <w:sz w:val="18"/>
              </w:rPr>
              <w:t>Reason for Ignoring</w:t>
            </w:r>
          </w:p>
        </w:tc>
      </w:tr>
      <w:tr>
        <w:tc>
          <w:tcPr>
            <w:tcW w:type="dxa" w:w="3324"/>
          </w:tcPr>
          <w:p>
            <w:r>
              <w:rPr>
                <w:color w:val="606060"/>
                <w:sz w:val="18"/>
              </w:rPr>
              <w:t>CA-6</w:t>
            </w:r>
          </w:p>
        </w:tc>
        <w:tc>
          <w:tcPr>
            <w:tcW w:type="dxa" w:w="3324"/>
          </w:tcPr>
          <w:p>
            <w:r>
              <w:rPr>
                <w:color w:val="606060"/>
                <w:sz w:val="18"/>
              </w:rPr>
              <w:t>Duplicate entry</w:t>
            </w:r>
          </w:p>
        </w:tc>
        <w:tc>
          <w:tcPr>
            <w:tcW w:type="dxa" w:w="3324"/>
          </w:tcPr>
          <w:p>
            <w:r>
              <w:rPr>
                <w:color w:val="606060"/>
                <w:sz w:val="18"/>
              </w:rPr>
              <w:t>Identified as duplicate during research compilation. No unique content. Removed from all downstream documents.</w:t>
            </w:r>
          </w:p>
        </w:tc>
      </w:tr>
      <w:tr>
        <w:tc>
          <w:tcPr>
            <w:tcW w:type="dxa" w:w="3324"/>
          </w:tcPr>
          <w:p>
            <w:r>
              <w:rPr>
                <w:color w:val="606060"/>
                <w:sz w:val="18"/>
              </w:rPr>
              <w:t>CA-10</w:t>
            </w:r>
          </w:p>
        </w:tc>
        <w:tc>
          <w:tcPr>
            <w:tcW w:type="dxa" w:w="3324"/>
          </w:tcPr>
          <w:p>
            <w:r>
              <w:rPr>
                <w:color w:val="606060"/>
                <w:sz w:val="18"/>
              </w:rPr>
              <w:t>Super Retail Group LFL +0.4%</w:t>
            </w:r>
          </w:p>
        </w:tc>
        <w:tc>
          <w:tcPr>
            <w:tcW w:type="dxa" w:w="3324"/>
          </w:tcPr>
          <w:p>
            <w:r>
              <w:rPr>
                <w:color w:val="606060"/>
                <w:sz w:val="18"/>
              </w:rPr>
              <w:t>No furniture or bedding category exposure. SUL operates sporting goods, auto, and camping. No LKG overlap. Filed but not actioned.</w:t>
            </w:r>
          </w:p>
        </w:tc>
      </w:tr>
      <w:tr>
        <w:tc>
          <w:tcPr>
            <w:tcW w:type="dxa" w:w="3324"/>
          </w:tcPr>
          <w:p>
            <w:r>
              <w:rPr>
                <w:color w:val="606060"/>
                <w:sz w:val="18"/>
              </w:rPr>
              <w:t>CMP-1</w:t>
            </w:r>
          </w:p>
        </w:tc>
        <w:tc>
          <w:tcPr>
            <w:tcW w:type="dxa" w:w="3324"/>
          </w:tcPr>
          <w:p>
            <w:r>
              <w:rPr>
                <w:color w:val="606060"/>
                <w:sz w:val="18"/>
              </w:rPr>
              <w:t>Super Retail Group trading update</w:t>
            </w:r>
          </w:p>
        </w:tc>
        <w:tc>
          <w:tcPr>
            <w:tcW w:type="dxa" w:w="3324"/>
          </w:tcPr>
          <w:p>
            <w:r>
              <w:rPr>
                <w:color w:val="606060"/>
                <w:sz w:val="18"/>
              </w:rPr>
              <w:t>Same as CA-10. No category overlap. Filed for completeness.</w:t>
            </w:r>
          </w:p>
        </w:tc>
      </w:tr>
    </w:tbl>
    <w:p/>
    <w:p>
      <w:pPr>
        <w:pStyle w:val="Heading1"/>
      </w:pPr>
      <w:r>
        <w:rPr>
          <w:b/>
          <w:color w:val="1F3664"/>
          <w:sz w:val="32"/>
        </w:rPr>
        <w:t>3. Review Flags — Detail and Resolution Required</w:t>
      </w:r>
    </w:p>
    <w:p>
      <w:pPr>
        <w:spacing w:after="120"/>
      </w:pPr>
      <w:r>
        <w:rPr>
          <w:b w:val="0"/>
          <w:i w:val="0"/>
          <w:color w:val="C55000"/>
          <w:sz w:val="20"/>
        </w:rPr>
        <w:t>The following flags were raised during research. Each must be resolved by the named owner before the associated item is used in formal Board papers, investor materials, or external communications.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664"/>
          </w:tcPr>
          <w:p>
            <w:r/>
            <w:r>
              <w:rPr>
                <w:b/>
                <w:color w:val="FFFFFF"/>
                <w:sz w:val="18"/>
              </w:rPr>
              <w:t>Item / Source</w:t>
            </w:r>
          </w:p>
        </w:tc>
        <w:tc>
          <w:tcPr>
            <w:tcW w:type="dxa" w:w="1994"/>
            <w:shd w:val="clear" w:color="auto" w:fill="1F3664"/>
          </w:tcPr>
          <w:p>
            <w:r/>
            <w:r>
              <w:rPr>
                <w:b/>
                <w:color w:val="FFFFFF"/>
                <w:sz w:val="18"/>
              </w:rPr>
              <w:t>Owner</w:t>
            </w:r>
          </w:p>
        </w:tc>
        <w:tc>
          <w:tcPr>
            <w:tcW w:type="dxa" w:w="1994"/>
            <w:shd w:val="clear" w:color="auto" w:fill="1F3664"/>
          </w:tcPr>
          <w:p>
            <w:r/>
            <w:r>
              <w:rPr>
                <w:b/>
                <w:color w:val="FFFFFF"/>
                <w:sz w:val="18"/>
              </w:rPr>
              <w:t>Issue</w:t>
            </w:r>
          </w:p>
        </w:tc>
        <w:tc>
          <w:tcPr>
            <w:tcW w:type="dxa" w:w="1994"/>
            <w:shd w:val="clear" w:color="auto" w:fill="1F3664"/>
          </w:tcPr>
          <w:p>
            <w:r/>
            <w:r>
              <w:rPr>
                <w:b/>
                <w:color w:val="FFFFFF"/>
                <w:sz w:val="18"/>
              </w:rPr>
              <w:t>Status</w:t>
            </w:r>
          </w:p>
        </w:tc>
        <w:tc>
          <w:tcPr>
            <w:tcW w:type="dxa" w:w="1994"/>
            <w:shd w:val="clear" w:color="auto" w:fill="1F3664"/>
          </w:tcPr>
          <w:p>
            <w:r/>
            <w:r>
              <w:rPr>
                <w:b/>
                <w:color w:val="FFFFFF"/>
                <w:sz w:val="18"/>
              </w:rPr>
              <w:t>Resolution Path</w:t>
            </w:r>
          </w:p>
        </w:tc>
      </w:tr>
      <w:tr>
        <w:tc>
          <w:tcPr>
            <w:tcW w:type="dxa" w:w="1994"/>
            <w:vAlign w:val="top"/>
          </w:tcPr>
          <w:p>
            <w:r>
              <w:rPr>
                <w:b/>
                <w:color w:val="C55000"/>
                <w:sz w:val="17"/>
              </w:rPr>
              <w:t>SO-3 / ABS MHSI</w:t>
            </w:r>
          </w:p>
        </w:tc>
        <w:tc>
          <w:tcPr>
            <w:tcW w:type="dxa" w:w="1994"/>
            <w:vAlign w:val="top"/>
          </w:tcPr>
          <w:p>
            <w:r>
              <w:rPr>
                <w:sz w:val="17"/>
              </w:rPr>
              <w:t>Finance / Research</w:t>
            </w:r>
          </w:p>
        </w:tc>
        <w:tc>
          <w:tcPr>
            <w:tcW w:type="dxa" w:w="1994"/>
            <w:vAlign w:val="top"/>
          </w:tcPr>
          <w:p>
            <w:r>
              <w:rPr>
                <w:sz w:val="17"/>
              </w:rPr>
              <w:t>+1.6% MoM is nominal only. Real volume growth unconfirmed. Do not cite as evidence of real category growth.</w:t>
            </w:r>
          </w:p>
        </w:tc>
        <w:tc>
          <w:tcPr>
            <w:tcW w:type="dxa" w:w="1994"/>
            <w:vAlign w:val="top"/>
          </w:tcPr>
          <w:p>
            <w:r>
              <w:rPr>
                <w:color w:val="C00000"/>
                <w:sz w:val="17"/>
              </w:rPr>
              <w:t>Open</w:t>
            </w:r>
          </w:p>
        </w:tc>
        <w:tc>
          <w:tcPr>
            <w:tcW w:type="dxa" w:w="1994"/>
            <w:vAlign w:val="top"/>
          </w:tcPr>
          <w:p>
            <w:r>
              <w:rPr>
                <w:sz w:val="17"/>
              </w:rPr>
              <w:t>Obtain ABS footnote or clarification note before next Board cycle.</w:t>
            </w:r>
          </w:p>
        </w:tc>
      </w:tr>
      <w:tr>
        <w:tc>
          <w:tcPr>
            <w:tcW w:type="dxa" w:w="1994"/>
            <w:vAlign w:val="top"/>
          </w:tcPr>
          <w:p>
            <w:r>
              <w:rPr>
                <w:b/>
                <w:color w:val="C55000"/>
                <w:sz w:val="17"/>
              </w:rPr>
              <w:t>IG-1 / Foam cost</w:t>
            </w:r>
          </w:p>
        </w:tc>
        <w:tc>
          <w:tcPr>
            <w:tcW w:type="dxa" w:w="1994"/>
            <w:vAlign w:val="top"/>
          </w:tcPr>
          <w:p>
            <w:r>
              <w:rPr>
                <w:sz w:val="17"/>
              </w:rPr>
              <w:t>Procurement</w:t>
            </w:r>
          </w:p>
        </w:tc>
        <w:tc>
          <w:tcPr>
            <w:tcW w:type="dxa" w:w="1994"/>
            <w:vAlign w:val="top"/>
          </w:tcPr>
          <w:p>
            <w:r>
              <w:rPr>
                <w:sz w:val="17"/>
              </w:rPr>
              <w:t>~20% cost increase is industry-level estimate from trade press. LKG contracted rate may differ significantly.</w:t>
            </w:r>
          </w:p>
        </w:tc>
        <w:tc>
          <w:tcPr>
            <w:tcW w:type="dxa" w:w="1994"/>
            <w:vAlign w:val="top"/>
          </w:tcPr>
          <w:p>
            <w:r>
              <w:rPr>
                <w:color w:val="C00000"/>
                <w:sz w:val="17"/>
              </w:rPr>
              <w:t>Open</w:t>
            </w:r>
          </w:p>
        </w:tc>
        <w:tc>
          <w:tcPr>
            <w:tcW w:type="dxa" w:w="1994"/>
            <w:vAlign w:val="top"/>
          </w:tcPr>
          <w:p>
            <w:r>
              <w:rPr>
                <w:sz w:val="17"/>
              </w:rPr>
              <w:t>Procurement to confirm contracted foam cost within 5 business days.</w:t>
            </w:r>
          </w:p>
        </w:tc>
      </w:tr>
      <w:tr>
        <w:tc>
          <w:tcPr>
            <w:tcW w:type="dxa" w:w="1994"/>
            <w:vAlign w:val="top"/>
          </w:tcPr>
          <w:p>
            <w:r>
              <w:rPr>
                <w:b/>
                <w:color w:val="C55000"/>
                <w:sz w:val="17"/>
              </w:rPr>
              <w:t>CA-11 / Amart+Freedom revenue</w:t>
            </w:r>
          </w:p>
        </w:tc>
        <w:tc>
          <w:tcPr>
            <w:tcW w:type="dxa" w:w="1994"/>
            <w:vAlign w:val="top"/>
          </w:tcPr>
          <w:p>
            <w:r>
              <w:rPr>
                <w:sz w:val="17"/>
              </w:rPr>
              <w:t>Commercial / Finance</w:t>
            </w:r>
          </w:p>
        </w:tc>
        <w:tc>
          <w:tcPr>
            <w:tcW w:type="dxa" w:w="1994"/>
            <w:vAlign w:val="top"/>
          </w:tcPr>
          <w:p>
            <w:r>
              <w:rPr>
                <w:sz w:val="17"/>
              </w:rPr>
              <w:t>$1B+ projected revenue is unverified (trade press). No ASX filing or audited source.</w:t>
            </w:r>
          </w:p>
        </w:tc>
        <w:tc>
          <w:tcPr>
            <w:tcW w:type="dxa" w:w="1994"/>
            <w:vAlign w:val="top"/>
          </w:tcPr>
          <w:p>
            <w:r>
              <w:rPr>
                <w:color w:val="C00000"/>
                <w:sz w:val="17"/>
              </w:rPr>
              <w:t>Open</w:t>
            </w:r>
          </w:p>
        </w:tc>
        <w:tc>
          <w:tcPr>
            <w:tcW w:type="dxa" w:w="1994"/>
            <w:vAlign w:val="top"/>
          </w:tcPr>
          <w:p>
            <w:r>
              <w:rPr>
                <w:sz w:val="17"/>
              </w:rPr>
              <w:t>Do not use in Board papers. Seek independent confirmation from ASIC/APRA registrations.</w:t>
            </w:r>
          </w:p>
        </w:tc>
      </w:tr>
      <w:tr>
        <w:tc>
          <w:tcPr>
            <w:tcW w:type="dxa" w:w="1994"/>
            <w:vAlign w:val="top"/>
          </w:tcPr>
          <w:p>
            <w:r>
              <w:rPr>
                <w:b/>
                <w:color w:val="C55000"/>
                <w:sz w:val="17"/>
              </w:rPr>
              <w:t>CA-7 / Sleeping Duck promo</w:t>
            </w:r>
          </w:p>
        </w:tc>
        <w:tc>
          <w:tcPr>
            <w:tcW w:type="dxa" w:w="1994"/>
            <w:vAlign w:val="top"/>
          </w:tcPr>
          <w:p>
            <w:r>
              <w:rPr>
                <w:sz w:val="17"/>
              </w:rPr>
              <w:t>Marketing</w:t>
            </w:r>
          </w:p>
        </w:tc>
        <w:tc>
          <w:tcPr>
            <w:tcW w:type="dxa" w:w="1994"/>
            <w:vAlign w:val="top"/>
          </w:tcPr>
          <w:p>
            <w:r>
              <w:rPr>
                <w:sz w:val="17"/>
              </w:rPr>
              <w:t>SLEEPSYSTEM2026 code sourced via BHG aggregator. May be expired or incorrect.</w:t>
            </w:r>
          </w:p>
        </w:tc>
        <w:tc>
          <w:tcPr>
            <w:tcW w:type="dxa" w:w="1994"/>
            <w:vAlign w:val="top"/>
          </w:tcPr>
          <w:p>
            <w:r>
              <w:rPr>
                <w:color w:val="C00000"/>
                <w:sz w:val="17"/>
              </w:rPr>
              <w:t>Open</w:t>
            </w:r>
          </w:p>
        </w:tc>
        <w:tc>
          <w:tcPr>
            <w:tcW w:type="dxa" w:w="1994"/>
            <w:vAlign w:val="top"/>
          </w:tcPr>
          <w:p>
            <w:r>
              <w:rPr>
                <w:sz w:val="17"/>
              </w:rPr>
              <w:t>Marketing to verify at sleepingduck.com before citing in competitive briefs.</w:t>
            </w:r>
          </w:p>
        </w:tc>
      </w:tr>
      <w:tr>
        <w:tc>
          <w:tcPr>
            <w:tcW w:type="dxa" w:w="1994"/>
            <w:vAlign w:val="top"/>
          </w:tcPr>
          <w:p>
            <w:r>
              <w:rPr>
                <w:b/>
                <w:color w:val="C55000"/>
                <w:sz w:val="17"/>
              </w:rPr>
              <w:t>Tempur-AI / AU applicability</w:t>
            </w:r>
          </w:p>
        </w:tc>
        <w:tc>
          <w:tcPr>
            <w:tcW w:type="dxa" w:w="1994"/>
            <w:vAlign w:val="top"/>
          </w:tcPr>
          <w:p>
            <w:r>
              <w:rPr>
                <w:sz w:val="17"/>
              </w:rPr>
              <w:t>Research</w:t>
            </w:r>
          </w:p>
        </w:tc>
        <w:tc>
          <w:tcPr>
            <w:tcW w:type="dxa" w:w="1994"/>
            <w:vAlign w:val="top"/>
          </w:tcPr>
          <w:p>
            <w:r>
              <w:rPr>
                <w:sz w:val="17"/>
              </w:rPr>
              <w:t>US announcement only. AU activation timeline unconfirmed.</w:t>
            </w:r>
          </w:p>
        </w:tc>
        <w:tc>
          <w:tcPr>
            <w:tcW w:type="dxa" w:w="1994"/>
            <w:vAlign w:val="top"/>
          </w:tcPr>
          <w:p>
            <w:r>
              <w:rPr>
                <w:color w:val="C00000"/>
                <w:sz w:val="17"/>
              </w:rPr>
              <w:t>Open</w:t>
            </w:r>
          </w:p>
        </w:tc>
        <w:tc>
          <w:tcPr>
            <w:tcW w:type="dxa" w:w="1994"/>
            <w:vAlign w:val="top"/>
          </w:tcPr>
          <w:p>
            <w:r>
              <w:rPr>
                <w:sz w:val="17"/>
              </w:rPr>
              <w:t>Do not include in AU competitive threat analysis. Monitor Tempur AU press releases.</w:t>
            </w:r>
          </w:p>
        </w:tc>
      </w:tr>
      <w:tr>
        <w:tc>
          <w:tcPr>
            <w:tcW w:type="dxa" w:w="1994"/>
            <w:vAlign w:val="top"/>
          </w:tcPr>
          <w:p>
            <w:r>
              <w:rPr>
                <w:b/>
                <w:color w:val="C55000"/>
                <w:sz w:val="17"/>
              </w:rPr>
              <w:t>CMP-2 through CMP-5 / Valuation multiples</w:t>
            </w:r>
          </w:p>
        </w:tc>
        <w:tc>
          <w:tcPr>
            <w:tcW w:type="dxa" w:w="1994"/>
            <w:vAlign w:val="top"/>
          </w:tcPr>
          <w:p>
            <w:r>
              <w:rPr>
                <w:sz w:val="17"/>
              </w:rPr>
              <w:t>CFO / Corporate Adviser</w:t>
            </w:r>
          </w:p>
        </w:tc>
        <w:tc>
          <w:tcPr>
            <w:tcW w:type="dxa" w:w="1994"/>
            <w:vAlign w:val="top"/>
          </w:tcPr>
          <w:p>
            <w:r>
              <w:rPr>
                <w:sz w:val="17"/>
              </w:rPr>
              <w:t>All EV/EBITDA figures are aggregator-sourced. LKG implied range (6.0-7.5x) is an internal derivation.</w:t>
            </w:r>
          </w:p>
        </w:tc>
        <w:tc>
          <w:tcPr>
            <w:tcW w:type="dxa" w:w="1994"/>
            <w:vAlign w:val="top"/>
          </w:tcPr>
          <w:p>
            <w:r>
              <w:rPr>
                <w:color w:val="C00000"/>
                <w:sz w:val="17"/>
              </w:rPr>
              <w:t>Open</w:t>
            </w:r>
          </w:p>
        </w:tc>
        <w:tc>
          <w:tcPr>
            <w:tcW w:type="dxa" w:w="1994"/>
            <w:vAlign w:val="top"/>
          </w:tcPr>
          <w:p>
            <w:r>
              <w:rPr>
                <w:sz w:val="17"/>
              </w:rPr>
              <w:t>Obtain broker research (at least one verified source) before any transaction or investor conversation.</w:t>
            </w:r>
          </w:p>
        </w:tc>
      </w:tr>
      <w:tr>
        <w:tc>
          <w:tcPr>
            <w:tcW w:type="dxa" w:w="1994"/>
            <w:vAlign w:val="top"/>
          </w:tcPr>
          <w:p>
            <w:r>
              <w:rPr>
                <w:b/>
                <w:color w:val="C55000"/>
                <w:sz w:val="17"/>
              </w:rPr>
              <w:t>IG-7 / AUD/USD rate</w:t>
            </w:r>
          </w:p>
        </w:tc>
        <w:tc>
          <w:tcPr>
            <w:tcW w:type="dxa" w:w="1994"/>
            <w:vAlign w:val="top"/>
          </w:tcPr>
          <w:p>
            <w:r>
              <w:rPr>
                <w:sz w:val="17"/>
              </w:rPr>
              <w:t>G&amp;G CFO / Treasury</w:t>
            </w:r>
          </w:p>
        </w:tc>
        <w:tc>
          <w:tcPr>
            <w:tcW w:type="dxa" w:w="1994"/>
            <w:vAlign w:val="top"/>
          </w:tcPr>
          <w:p>
            <w:r>
              <w:rPr>
                <w:sz w:val="17"/>
              </w:rPr>
              <w:t>0.7242 sourced from market aggregator on approximate date. Hedging position unknown.</w:t>
            </w:r>
          </w:p>
        </w:tc>
        <w:tc>
          <w:tcPr>
            <w:tcW w:type="dxa" w:w="1994"/>
            <w:vAlign w:val="top"/>
          </w:tcPr>
          <w:p>
            <w:r>
              <w:rPr>
                <w:color w:val="C00000"/>
                <w:sz w:val="17"/>
              </w:rPr>
              <w:t>Open</w:t>
            </w:r>
          </w:p>
        </w:tc>
        <w:tc>
          <w:tcPr>
            <w:tcW w:type="dxa" w:w="1994"/>
            <w:vAlign w:val="top"/>
          </w:tcPr>
          <w:p>
            <w:r>
              <w:rPr>
                <w:sz w:val="17"/>
              </w:rPr>
              <w:t>G&amp;G CFO to confirm current rate, hedging book, and FY27 cost plan within 2 weeks.</w:t>
            </w:r>
          </w:p>
        </w:tc>
      </w:tr>
      <w:tr>
        <w:tc>
          <w:tcPr>
            <w:tcW w:type="dxa" w:w="1994"/>
            <w:vAlign w:val="top"/>
          </w:tcPr>
          <w:p>
            <w:r>
              <w:rPr>
                <w:b/>
                <w:color w:val="C55000"/>
                <w:sz w:val="17"/>
              </w:rPr>
              <w:t>CMP-6 / TPW 7 May catalyst</w:t>
            </w:r>
          </w:p>
        </w:tc>
        <w:tc>
          <w:tcPr>
            <w:tcW w:type="dxa" w:w="1994"/>
            <w:vAlign w:val="top"/>
          </w:tcPr>
          <w:p>
            <w:r>
              <w:rPr>
                <w:sz w:val="17"/>
              </w:rPr>
              <w:t>Research</w:t>
            </w:r>
          </w:p>
        </w:tc>
        <w:tc>
          <w:tcPr>
            <w:tcW w:type="dxa" w:w="1994"/>
            <w:vAlign w:val="top"/>
          </w:tcPr>
          <w:p>
            <w:r>
              <w:rPr>
                <w:sz w:val="17"/>
              </w:rPr>
              <w:t>+5.6% single-day move on 7 May — catalyst unconfirmed.</w:t>
            </w:r>
          </w:p>
        </w:tc>
        <w:tc>
          <w:tcPr>
            <w:tcW w:type="dxa" w:w="1994"/>
            <w:vAlign w:val="top"/>
          </w:tcPr>
          <w:p>
            <w:r>
              <w:rPr>
                <w:color w:val="C00000"/>
                <w:sz w:val="17"/>
              </w:rPr>
              <w:t>Open</w:t>
            </w:r>
          </w:p>
        </w:tc>
        <w:tc>
          <w:tcPr>
            <w:tcW w:type="dxa" w:w="1994"/>
            <w:vAlign w:val="top"/>
          </w:tcPr>
          <w:p>
            <w:r>
              <w:rPr>
                <w:sz w:val="17"/>
              </w:rPr>
              <w:t>Research to identify catalyst from ASX announcements or analyst notes.</w:t>
            </w:r>
          </w:p>
        </w:tc>
      </w:tr>
    </w:tbl>
    <w:p/>
    <w:p>
      <w:pPr>
        <w:pStyle w:val="Heading1"/>
      </w:pPr>
      <w:r>
        <w:rPr>
          <w:b/>
          <w:color w:val="1F3664"/>
          <w:sz w:val="32"/>
        </w:rPr>
        <w:t>4. Source List — All Sources Cited This Week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664"/>
          </w:tcPr>
          <w:p>
            <w:r/>
            <w:r>
              <w:rPr>
                <w:b/>
                <w:color w:val="FFFFFF"/>
                <w:sz w:val="18"/>
              </w:rPr>
              <w:t>Source Name</w:t>
            </w:r>
          </w:p>
        </w:tc>
        <w:tc>
          <w:tcPr>
            <w:tcW w:type="dxa" w:w="1994"/>
            <w:shd w:val="clear" w:color="auto" w:fill="1F3664"/>
          </w:tcPr>
          <w:p>
            <w:r/>
            <w:r>
              <w:rPr>
                <w:b/>
                <w:color w:val="FFFFFF"/>
                <w:sz w:val="18"/>
              </w:rPr>
              <w:t>Date</w:t>
            </w:r>
          </w:p>
        </w:tc>
        <w:tc>
          <w:tcPr>
            <w:tcW w:type="dxa" w:w="1994"/>
            <w:shd w:val="clear" w:color="auto" w:fill="1F3664"/>
          </w:tcPr>
          <w:p>
            <w:r/>
            <w:r>
              <w:rPr>
                <w:b/>
                <w:color w:val="FFFFFF"/>
                <w:sz w:val="18"/>
              </w:rPr>
              <w:t>URL / Reference</w:t>
            </w:r>
          </w:p>
        </w:tc>
        <w:tc>
          <w:tcPr>
            <w:tcW w:type="dxa" w:w="1994"/>
            <w:shd w:val="clear" w:color="auto" w:fill="1F3664"/>
          </w:tcPr>
          <w:p>
            <w:r/>
            <w:r>
              <w:rPr>
                <w:b/>
                <w:color w:val="FFFFFF"/>
                <w:sz w:val="18"/>
              </w:rPr>
              <w:t>Confidence</w:t>
            </w:r>
          </w:p>
        </w:tc>
        <w:tc>
          <w:tcPr>
            <w:tcW w:type="dxa" w:w="1994"/>
            <w:shd w:val="clear" w:color="auto" w:fill="1F3664"/>
          </w:tcPr>
          <w:p>
            <w:r/>
            <w:r>
              <w:rPr>
                <w:b/>
                <w:color w:val="FFFFFF"/>
                <w:sz w:val="18"/>
              </w:rPr>
              <w:t>Used In</w:t>
            </w:r>
          </w:p>
        </w:tc>
      </w:tr>
      <w:tr>
        <w:tc>
          <w:tcPr>
            <w:tcW w:type="dxa" w:w="1994"/>
            <w:vAlign w:val="top"/>
          </w:tcPr>
          <w:p>
            <w:r>
              <w:rPr>
                <w:sz w:val="16"/>
              </w:rPr>
              <w:t>RBA Media Release mr-26-12</w:t>
            </w:r>
          </w:p>
        </w:tc>
        <w:tc>
          <w:tcPr>
            <w:tcW w:type="dxa" w:w="1994"/>
            <w:vAlign w:val="top"/>
          </w:tcPr>
          <w:p>
            <w:r>
              <w:rPr>
                <w:sz w:val="16"/>
              </w:rPr>
              <w:t>5 May 2026</w:t>
            </w:r>
          </w:p>
        </w:tc>
        <w:tc>
          <w:tcPr>
            <w:tcW w:type="dxa" w:w="1994"/>
            <w:vAlign w:val="top"/>
          </w:tcPr>
          <w:p>
            <w:r>
              <w:rPr>
                <w:i/>
                <w:color w:val="2E74B5"/>
                <w:sz w:val="16"/>
              </w:rPr>
              <w:t>rba.gov.au/media-releases/2026/mr-26-12.html</w:t>
            </w:r>
          </w:p>
        </w:tc>
        <w:tc>
          <w:tcPr>
            <w:tcW w:type="dxa" w:w="1994"/>
            <w:vAlign w:val="top"/>
          </w:tcPr>
          <w:p>
            <w:r>
              <w:rPr>
                <w:sz w:val="16"/>
              </w:rPr>
              <w:t>Very High</w:t>
            </w:r>
          </w:p>
        </w:tc>
        <w:tc>
          <w:tcPr>
            <w:tcW w:type="dxa" w:w="1994"/>
            <w:vAlign w:val="top"/>
          </w:tcPr>
          <w:p>
            <w:r>
              <w:rPr>
                <w:sz w:val="16"/>
              </w:rPr>
              <w:t>SO-1, IG-5</w:t>
            </w:r>
          </w:p>
        </w:tc>
      </w:tr>
      <w:tr>
        <w:tc>
          <w:tcPr>
            <w:tcW w:type="dxa" w:w="1994"/>
            <w:vAlign w:val="top"/>
          </w:tcPr>
          <w:p>
            <w:r>
              <w:rPr>
                <w:sz w:val="16"/>
              </w:rPr>
              <w:t>ANZ-Roy Morgan Consumer Confidence</w:t>
            </w:r>
          </w:p>
        </w:tc>
        <w:tc>
          <w:tcPr>
            <w:tcW w:type="dxa" w:w="1994"/>
            <w:vAlign w:val="top"/>
          </w:tcPr>
          <w:p>
            <w:r>
              <w:rPr>
                <w:sz w:val="16"/>
              </w:rPr>
              <w:t>5 May 2026</w:t>
            </w:r>
          </w:p>
        </w:tc>
        <w:tc>
          <w:tcPr>
            <w:tcW w:type="dxa" w:w="1994"/>
            <w:vAlign w:val="top"/>
          </w:tcPr>
          <w:p>
            <w:r>
              <w:rPr>
                <w:i/>
                <w:color w:val="2E74B5"/>
                <w:sz w:val="16"/>
              </w:rPr>
              <w:t>roymorgan.com (weekly release)</w:t>
            </w:r>
          </w:p>
        </w:tc>
        <w:tc>
          <w:tcPr>
            <w:tcW w:type="dxa" w:w="1994"/>
            <w:vAlign w:val="top"/>
          </w:tcPr>
          <w:p>
            <w:r>
              <w:rPr>
                <w:sz w:val="16"/>
              </w:rPr>
              <w:t>Very High</w:t>
            </w:r>
          </w:p>
        </w:tc>
        <w:tc>
          <w:tcPr>
            <w:tcW w:type="dxa" w:w="1994"/>
            <w:vAlign w:val="top"/>
          </w:tcPr>
          <w:p>
            <w:r>
              <w:rPr>
                <w:sz w:val="16"/>
              </w:rPr>
              <w:t>SO-2, IG-10</w:t>
            </w:r>
          </w:p>
        </w:tc>
      </w:tr>
      <w:tr>
        <w:tc>
          <w:tcPr>
            <w:tcW w:type="dxa" w:w="1994"/>
            <w:vAlign w:val="top"/>
          </w:tcPr>
          <w:p>
            <w:r>
              <w:rPr>
                <w:sz w:val="16"/>
              </w:rPr>
              <w:t>ABS Monthly Household Spending Indicator — March 2026</w:t>
            </w:r>
          </w:p>
        </w:tc>
        <w:tc>
          <w:tcPr>
            <w:tcW w:type="dxa" w:w="1994"/>
            <w:vAlign w:val="top"/>
          </w:tcPr>
          <w:p>
            <w:r>
              <w:rPr>
                <w:sz w:val="16"/>
              </w:rPr>
              <w:t>April 2026</w:t>
            </w:r>
          </w:p>
        </w:tc>
        <w:tc>
          <w:tcPr>
            <w:tcW w:type="dxa" w:w="1994"/>
            <w:vAlign w:val="top"/>
          </w:tcPr>
          <w:p>
            <w:r>
              <w:rPr>
                <w:i/>
                <w:color w:val="2E74B5"/>
                <w:sz w:val="16"/>
              </w:rPr>
              <w:t>abs.gov.au/statistics/economy/finance/monthly-household-spending-indicator</w:t>
            </w:r>
          </w:p>
        </w:tc>
        <w:tc>
          <w:tcPr>
            <w:tcW w:type="dxa" w:w="1994"/>
            <w:vAlign w:val="top"/>
          </w:tcPr>
          <w:p>
            <w:r>
              <w:rPr>
                <w:sz w:val="16"/>
              </w:rPr>
              <w:t>Medium (nominal only)</w:t>
            </w:r>
          </w:p>
        </w:tc>
        <w:tc>
          <w:tcPr>
            <w:tcW w:type="dxa" w:w="1994"/>
            <w:vAlign w:val="top"/>
          </w:tcPr>
          <w:p>
            <w:r>
              <w:rPr>
                <w:sz w:val="16"/>
              </w:rPr>
              <w:t>SO-3</w:t>
            </w:r>
          </w:p>
        </w:tc>
      </w:tr>
      <w:tr>
        <w:tc>
          <w:tcPr>
            <w:tcW w:type="dxa" w:w="1994"/>
            <w:vAlign w:val="top"/>
          </w:tcPr>
          <w:p>
            <w:r>
              <w:rPr>
                <w:sz w:val="16"/>
              </w:rPr>
              <w:t>Cotality Residential Property Report — April 2026</w:t>
            </w:r>
          </w:p>
        </w:tc>
        <w:tc>
          <w:tcPr>
            <w:tcW w:type="dxa" w:w="1994"/>
            <w:vAlign w:val="top"/>
          </w:tcPr>
          <w:p>
            <w:r>
              <w:rPr>
                <w:sz w:val="16"/>
              </w:rPr>
              <w:t>April 2026</w:t>
            </w:r>
          </w:p>
        </w:tc>
        <w:tc>
          <w:tcPr>
            <w:tcW w:type="dxa" w:w="1994"/>
            <w:vAlign w:val="top"/>
          </w:tcPr>
          <w:p>
            <w:r>
              <w:rPr>
                <w:i/>
                <w:color w:val="2E74B5"/>
                <w:sz w:val="16"/>
              </w:rPr>
              <w:t>cotality.com.au</w:t>
            </w:r>
          </w:p>
        </w:tc>
        <w:tc>
          <w:tcPr>
            <w:tcW w:type="dxa" w:w="1994"/>
            <w:vAlign w:val="top"/>
          </w:tcPr>
          <w:p>
            <w:r>
              <w:rPr>
                <w:sz w:val="16"/>
              </w:rPr>
              <w:t>High</w:t>
            </w:r>
          </w:p>
        </w:tc>
        <w:tc>
          <w:tcPr>
            <w:tcW w:type="dxa" w:w="1994"/>
            <w:vAlign w:val="top"/>
          </w:tcPr>
          <w:p>
            <w:r>
              <w:rPr>
                <w:sz w:val="16"/>
              </w:rPr>
              <w:t>SO-4, IG-9</w:t>
            </w:r>
          </w:p>
        </w:tc>
      </w:tr>
      <w:tr>
        <w:tc>
          <w:tcPr>
            <w:tcW w:type="dxa" w:w="1994"/>
            <w:vAlign w:val="top"/>
          </w:tcPr>
          <w:p>
            <w:r>
              <w:rPr>
                <w:sz w:val="16"/>
              </w:rPr>
              <w:t>BedTimes Magazine — A.H. Beard Administration</w:t>
            </w:r>
          </w:p>
        </w:tc>
        <w:tc>
          <w:tcPr>
            <w:tcW w:type="dxa" w:w="1994"/>
            <w:vAlign w:val="top"/>
          </w:tcPr>
          <w:p>
            <w:r>
              <w:rPr>
                <w:sz w:val="16"/>
              </w:rPr>
              <w:t>April 2026</w:t>
            </w:r>
          </w:p>
        </w:tc>
        <w:tc>
          <w:tcPr>
            <w:tcW w:type="dxa" w:w="1994"/>
            <w:vAlign w:val="top"/>
          </w:tcPr>
          <w:p>
            <w:r>
              <w:rPr>
                <w:i/>
                <w:color w:val="2E74B5"/>
                <w:sz w:val="16"/>
              </w:rPr>
              <w:t>bedtimesmagazine.com</w:t>
            </w:r>
          </w:p>
        </w:tc>
        <w:tc>
          <w:tcPr>
            <w:tcW w:type="dxa" w:w="1994"/>
            <w:vAlign w:val="top"/>
          </w:tcPr>
          <w:p>
            <w:r>
              <w:rPr>
                <w:sz w:val="16"/>
              </w:rPr>
              <w:t>Very High</w:t>
            </w:r>
          </w:p>
        </w:tc>
        <w:tc>
          <w:tcPr>
            <w:tcW w:type="dxa" w:w="1994"/>
            <w:vAlign w:val="top"/>
          </w:tcPr>
          <w:p>
            <w:r>
              <w:rPr>
                <w:sz w:val="16"/>
              </w:rPr>
              <w:t>SO-5, IG-4</w:t>
            </w:r>
          </w:p>
        </w:tc>
      </w:tr>
      <w:tr>
        <w:tc>
          <w:tcPr>
            <w:tcW w:type="dxa" w:w="1994"/>
            <w:vAlign w:val="top"/>
          </w:tcPr>
          <w:p>
            <w:r>
              <w:rPr>
                <w:sz w:val="16"/>
              </w:rPr>
              <w:t>ACCC Media Release — Emma Sleep Penalty</w:t>
            </w:r>
          </w:p>
        </w:tc>
        <w:tc>
          <w:tcPr>
            <w:tcW w:type="dxa" w:w="1994"/>
            <w:vAlign w:val="top"/>
          </w:tcPr>
          <w:p>
            <w:r>
              <w:rPr>
                <w:sz w:val="16"/>
              </w:rPr>
              <w:t>24 April 2026</w:t>
            </w:r>
          </w:p>
        </w:tc>
        <w:tc>
          <w:tcPr>
            <w:tcW w:type="dxa" w:w="1994"/>
            <w:vAlign w:val="top"/>
          </w:tcPr>
          <w:p>
            <w:r>
              <w:rPr>
                <w:i/>
                <w:color w:val="2E74B5"/>
                <w:sz w:val="16"/>
              </w:rPr>
              <w:t>accc.gov.au/media-release/emma-sleep (indicative URL)</w:t>
            </w:r>
          </w:p>
        </w:tc>
        <w:tc>
          <w:tcPr>
            <w:tcW w:type="dxa" w:w="1994"/>
            <w:vAlign w:val="top"/>
          </w:tcPr>
          <w:p>
            <w:r>
              <w:rPr>
                <w:sz w:val="16"/>
              </w:rPr>
              <w:t>Very High</w:t>
            </w:r>
          </w:p>
        </w:tc>
        <w:tc>
          <w:tcPr>
            <w:tcW w:type="dxa" w:w="1994"/>
            <w:vAlign w:val="top"/>
          </w:tcPr>
          <w:p>
            <w:r>
              <w:rPr>
                <w:sz w:val="16"/>
              </w:rPr>
              <w:t>SO-6</w:t>
            </w:r>
          </w:p>
        </w:tc>
      </w:tr>
      <w:tr>
        <w:tc>
          <w:tcPr>
            <w:tcW w:type="dxa" w:w="1994"/>
            <w:vAlign w:val="top"/>
          </w:tcPr>
          <w:p>
            <w:r>
              <w:rPr>
                <w:sz w:val="16"/>
              </w:rPr>
              <w:t>Inside Retail — Allegro Funds / Fantastic Furniture</w:t>
            </w:r>
          </w:p>
        </w:tc>
        <w:tc>
          <w:tcPr>
            <w:tcW w:type="dxa" w:w="1994"/>
            <w:vAlign w:val="top"/>
          </w:tcPr>
          <w:p>
            <w:r>
              <w:rPr>
                <w:sz w:val="16"/>
              </w:rPr>
              <w:t>4-5 May 2026</w:t>
            </w:r>
          </w:p>
        </w:tc>
        <w:tc>
          <w:tcPr>
            <w:tcW w:type="dxa" w:w="1994"/>
            <w:vAlign w:val="top"/>
          </w:tcPr>
          <w:p>
            <w:r>
              <w:rPr>
                <w:i/>
                <w:color w:val="2E74B5"/>
                <w:sz w:val="16"/>
              </w:rPr>
              <w:t>insideretail.com.au</w:t>
            </w:r>
          </w:p>
        </w:tc>
        <w:tc>
          <w:tcPr>
            <w:tcW w:type="dxa" w:w="1994"/>
            <w:vAlign w:val="top"/>
          </w:tcPr>
          <w:p>
            <w:r>
              <w:rPr>
                <w:sz w:val="16"/>
              </w:rPr>
              <w:t>Very High</w:t>
            </w:r>
          </w:p>
        </w:tc>
        <w:tc>
          <w:tcPr>
            <w:tcW w:type="dxa" w:w="1994"/>
            <w:vAlign w:val="top"/>
          </w:tcPr>
          <w:p>
            <w:r>
              <w:rPr>
                <w:sz w:val="16"/>
              </w:rPr>
              <w:t>SO-7, IG-4</w:t>
            </w:r>
          </w:p>
        </w:tc>
      </w:tr>
      <w:tr>
        <w:tc>
          <w:tcPr>
            <w:tcW w:type="dxa" w:w="1994"/>
            <w:vAlign w:val="top"/>
          </w:tcPr>
          <w:p>
            <w:r>
              <w:rPr>
                <w:sz w:val="16"/>
              </w:rPr>
              <w:t>Inside Retail / ChannelNews — Amart+Freedom IPO</w:t>
            </w:r>
          </w:p>
        </w:tc>
        <w:tc>
          <w:tcPr>
            <w:tcW w:type="dxa" w:w="1994"/>
            <w:vAlign w:val="top"/>
          </w:tcPr>
          <w:p>
            <w:r>
              <w:rPr>
                <w:sz w:val="16"/>
              </w:rPr>
              <w:t>May 2026</w:t>
            </w:r>
          </w:p>
        </w:tc>
        <w:tc>
          <w:tcPr>
            <w:tcW w:type="dxa" w:w="1994"/>
            <w:vAlign w:val="top"/>
          </w:tcPr>
          <w:p>
            <w:r>
              <w:rPr>
                <w:i/>
                <w:color w:val="2E74B5"/>
                <w:sz w:val="16"/>
              </w:rPr>
              <w:t>insideretail.com.au; channelnews.com.au</w:t>
            </w:r>
          </w:p>
        </w:tc>
        <w:tc>
          <w:tcPr>
            <w:tcW w:type="dxa" w:w="1994"/>
            <w:vAlign w:val="top"/>
          </w:tcPr>
          <w:p>
            <w:r>
              <w:rPr>
                <w:sz w:val="16"/>
              </w:rPr>
              <w:t>Medium (unverified)</w:t>
            </w:r>
          </w:p>
        </w:tc>
        <w:tc>
          <w:tcPr>
            <w:tcW w:type="dxa" w:w="1994"/>
            <w:vAlign w:val="top"/>
          </w:tcPr>
          <w:p>
            <w:r>
              <w:rPr>
                <w:sz w:val="16"/>
              </w:rPr>
              <w:t>CA-11</w:t>
            </w:r>
          </w:p>
        </w:tc>
      </w:tr>
      <w:tr>
        <w:tc>
          <w:tcPr>
            <w:tcW w:type="dxa" w:w="1994"/>
            <w:vAlign w:val="top"/>
          </w:tcPr>
          <w:p>
            <w:r>
              <w:rPr>
                <w:sz w:val="16"/>
              </w:rPr>
              <w:t>ASX Filings — Nick Scali (NCK)</w:t>
            </w:r>
          </w:p>
        </w:tc>
        <w:tc>
          <w:tcPr>
            <w:tcW w:type="dxa" w:w="1994"/>
            <w:vAlign w:val="top"/>
          </w:tcPr>
          <w:p>
            <w:r>
              <w:rPr>
                <w:sz w:val="16"/>
              </w:rPr>
              <w:t>May 2026</w:t>
            </w:r>
          </w:p>
        </w:tc>
        <w:tc>
          <w:tcPr>
            <w:tcW w:type="dxa" w:w="1994"/>
            <w:vAlign w:val="top"/>
          </w:tcPr>
          <w:p>
            <w:r>
              <w:rPr>
                <w:i/>
                <w:color w:val="2E74B5"/>
                <w:sz w:val="16"/>
              </w:rPr>
              <w:t>asx.com.au/asx/share-price-research/company/NCK</w:t>
            </w:r>
          </w:p>
        </w:tc>
        <w:tc>
          <w:tcPr>
            <w:tcW w:type="dxa" w:w="1994"/>
            <w:vAlign w:val="top"/>
          </w:tcPr>
          <w:p>
            <w:r>
              <w:rPr>
                <w:sz w:val="16"/>
              </w:rPr>
              <w:t>Very High</w:t>
            </w:r>
          </w:p>
        </w:tc>
        <w:tc>
          <w:tcPr>
            <w:tcW w:type="dxa" w:w="1994"/>
            <w:vAlign w:val="top"/>
          </w:tcPr>
          <w:p>
            <w:r>
              <w:rPr>
                <w:sz w:val="16"/>
              </w:rPr>
              <w:t>SO-8, CA-12, CMP-2</w:t>
            </w:r>
          </w:p>
        </w:tc>
      </w:tr>
      <w:tr>
        <w:tc>
          <w:tcPr>
            <w:tcW w:type="dxa" w:w="1994"/>
            <w:vAlign w:val="top"/>
          </w:tcPr>
          <w:p>
            <w:r>
              <w:rPr>
                <w:sz w:val="16"/>
              </w:rPr>
              <w:t>Kalkine / Yahoo Finance — Adairs (ADH)</w:t>
            </w:r>
          </w:p>
        </w:tc>
        <w:tc>
          <w:tcPr>
            <w:tcW w:type="dxa" w:w="1994"/>
            <w:vAlign w:val="top"/>
          </w:tcPr>
          <w:p>
            <w:r>
              <w:rPr>
                <w:sz w:val="16"/>
              </w:rPr>
              <w:t>May 2026</w:t>
            </w:r>
          </w:p>
        </w:tc>
        <w:tc>
          <w:tcPr>
            <w:tcW w:type="dxa" w:w="1994"/>
            <w:vAlign w:val="top"/>
          </w:tcPr>
          <w:p>
            <w:r>
              <w:rPr>
                <w:i/>
                <w:color w:val="2E74B5"/>
                <w:sz w:val="16"/>
              </w:rPr>
              <w:t>kalkinemedia.com; finance.yahoo.com</w:t>
            </w:r>
          </w:p>
        </w:tc>
        <w:tc>
          <w:tcPr>
            <w:tcW w:type="dxa" w:w="1994"/>
            <w:vAlign w:val="top"/>
          </w:tcPr>
          <w:p>
            <w:r>
              <w:rPr>
                <w:sz w:val="16"/>
              </w:rPr>
              <w:t>Very High</w:t>
            </w:r>
          </w:p>
        </w:tc>
        <w:tc>
          <w:tcPr>
            <w:tcW w:type="dxa" w:w="1994"/>
            <w:vAlign w:val="top"/>
          </w:tcPr>
          <w:p>
            <w:r>
              <w:rPr>
                <w:sz w:val="16"/>
              </w:rPr>
              <w:t>SO-9, CMP-4</w:t>
            </w:r>
          </w:p>
        </w:tc>
      </w:tr>
      <w:tr>
        <w:tc>
          <w:tcPr>
            <w:tcW w:type="dxa" w:w="1994"/>
            <w:vAlign w:val="top"/>
          </w:tcPr>
          <w:p>
            <w:r>
              <w:rPr>
                <w:sz w:val="16"/>
              </w:rPr>
              <w:t>ASX Filings / Kimbino — Harvey Norman (HVN)</w:t>
            </w:r>
          </w:p>
        </w:tc>
        <w:tc>
          <w:tcPr>
            <w:tcW w:type="dxa" w:w="1994"/>
            <w:vAlign w:val="top"/>
          </w:tcPr>
          <w:p>
            <w:r>
              <w:rPr>
                <w:sz w:val="16"/>
              </w:rPr>
              <w:t>May 2026</w:t>
            </w:r>
          </w:p>
        </w:tc>
        <w:tc>
          <w:tcPr>
            <w:tcW w:type="dxa" w:w="1994"/>
            <w:vAlign w:val="top"/>
          </w:tcPr>
          <w:p>
            <w:r>
              <w:rPr>
                <w:i/>
                <w:color w:val="2E74B5"/>
                <w:sz w:val="16"/>
              </w:rPr>
              <w:t>asx.com.au/asx/share-price-research/company/HVN; kimbino.com.au</w:t>
            </w:r>
          </w:p>
        </w:tc>
        <w:tc>
          <w:tcPr>
            <w:tcW w:type="dxa" w:w="1994"/>
            <w:vAlign w:val="top"/>
          </w:tcPr>
          <w:p>
            <w:r>
              <w:rPr>
                <w:sz w:val="16"/>
              </w:rPr>
              <w:t>Very High</w:t>
            </w:r>
          </w:p>
        </w:tc>
        <w:tc>
          <w:tcPr>
            <w:tcW w:type="dxa" w:w="1994"/>
            <w:vAlign w:val="top"/>
          </w:tcPr>
          <w:p>
            <w:r>
              <w:rPr>
                <w:sz w:val="16"/>
              </w:rPr>
              <w:t>CA-2, CA-3, CMP-3</w:t>
            </w:r>
          </w:p>
        </w:tc>
      </w:tr>
      <w:tr>
        <w:tc>
          <w:tcPr>
            <w:tcW w:type="dxa" w:w="1994"/>
            <w:vAlign w:val="top"/>
          </w:tcPr>
          <w:p>
            <w:r>
              <w:rPr>
                <w:sz w:val="16"/>
              </w:rPr>
              <w:t>Forty Winks — fortywinks.com.au</w:t>
            </w:r>
          </w:p>
        </w:tc>
        <w:tc>
          <w:tcPr>
            <w:tcW w:type="dxa" w:w="1994"/>
            <w:vAlign w:val="top"/>
          </w:tcPr>
          <w:p>
            <w:r>
              <w:rPr>
                <w:sz w:val="16"/>
              </w:rPr>
              <w:t>Week of 5 May 2026</w:t>
            </w:r>
          </w:p>
        </w:tc>
        <w:tc>
          <w:tcPr>
            <w:tcW w:type="dxa" w:w="1994"/>
            <w:vAlign w:val="top"/>
          </w:tcPr>
          <w:p>
            <w:r>
              <w:rPr>
                <w:i/>
                <w:color w:val="2E74B5"/>
                <w:sz w:val="16"/>
              </w:rPr>
              <w:t>fortywinks.com.au</w:t>
            </w:r>
          </w:p>
        </w:tc>
        <w:tc>
          <w:tcPr>
            <w:tcW w:type="dxa" w:w="1994"/>
            <w:vAlign w:val="top"/>
          </w:tcPr>
          <w:p>
            <w:r>
              <w:rPr>
                <w:sz w:val="16"/>
              </w:rPr>
              <w:t>High</w:t>
            </w:r>
          </w:p>
        </w:tc>
        <w:tc>
          <w:tcPr>
            <w:tcW w:type="dxa" w:w="1994"/>
            <w:vAlign w:val="top"/>
          </w:tcPr>
          <w:p>
            <w:r>
              <w:rPr>
                <w:sz w:val="16"/>
              </w:rPr>
              <w:t>CA-1</w:t>
            </w:r>
          </w:p>
        </w:tc>
      </w:tr>
      <w:tr>
        <w:tc>
          <w:tcPr>
            <w:tcW w:type="dxa" w:w="1994"/>
            <w:vAlign w:val="top"/>
          </w:tcPr>
          <w:p>
            <w:r>
              <w:rPr>
                <w:sz w:val="16"/>
              </w:rPr>
              <w:t>IKEA AU — IKEA.com/au</w:t>
            </w:r>
          </w:p>
        </w:tc>
        <w:tc>
          <w:tcPr>
            <w:tcW w:type="dxa" w:w="1994"/>
            <w:vAlign w:val="top"/>
          </w:tcPr>
          <w:p>
            <w:r>
              <w:rPr>
                <w:sz w:val="16"/>
              </w:rPr>
              <w:t>Week of 5 May 2026</w:t>
            </w:r>
          </w:p>
        </w:tc>
        <w:tc>
          <w:tcPr>
            <w:tcW w:type="dxa" w:w="1994"/>
            <w:vAlign w:val="top"/>
          </w:tcPr>
          <w:p>
            <w:r>
              <w:rPr>
                <w:i/>
                <w:color w:val="2E74B5"/>
                <w:sz w:val="16"/>
              </w:rPr>
              <w:t>ikea.com/au</w:t>
            </w:r>
          </w:p>
        </w:tc>
        <w:tc>
          <w:tcPr>
            <w:tcW w:type="dxa" w:w="1994"/>
            <w:vAlign w:val="top"/>
          </w:tcPr>
          <w:p>
            <w:r>
              <w:rPr>
                <w:sz w:val="16"/>
              </w:rPr>
              <w:t>High</w:t>
            </w:r>
          </w:p>
        </w:tc>
        <w:tc>
          <w:tcPr>
            <w:tcW w:type="dxa" w:w="1994"/>
            <w:vAlign w:val="top"/>
          </w:tcPr>
          <w:p>
            <w:r>
              <w:rPr>
                <w:sz w:val="16"/>
              </w:rPr>
              <w:t>CA-4</w:t>
            </w:r>
          </w:p>
        </w:tc>
      </w:tr>
      <w:tr>
        <w:tc>
          <w:tcPr>
            <w:tcW w:type="dxa" w:w="1994"/>
            <w:vAlign w:val="top"/>
          </w:tcPr>
          <w:p>
            <w:r>
              <w:rPr>
                <w:sz w:val="16"/>
              </w:rPr>
              <w:t>Koala AU; Better Homes and Gardens aggregator</w:t>
            </w:r>
          </w:p>
        </w:tc>
        <w:tc>
          <w:tcPr>
            <w:tcW w:type="dxa" w:w="1994"/>
            <w:vAlign w:val="top"/>
          </w:tcPr>
          <w:p>
            <w:r>
              <w:rPr>
                <w:sz w:val="16"/>
              </w:rPr>
              <w:t>Week of 5 May 2026</w:t>
            </w:r>
          </w:p>
        </w:tc>
        <w:tc>
          <w:tcPr>
            <w:tcW w:type="dxa" w:w="1994"/>
            <w:vAlign w:val="top"/>
          </w:tcPr>
          <w:p>
            <w:r>
              <w:rPr>
                <w:i/>
                <w:color w:val="2E74B5"/>
                <w:sz w:val="16"/>
              </w:rPr>
              <w:t>au.koala.com; bhg.com.au</w:t>
            </w:r>
          </w:p>
        </w:tc>
        <w:tc>
          <w:tcPr>
            <w:tcW w:type="dxa" w:w="1994"/>
            <w:vAlign w:val="top"/>
          </w:tcPr>
          <w:p>
            <w:r>
              <w:rPr>
                <w:sz w:val="16"/>
              </w:rPr>
              <w:t>Medium-High</w:t>
            </w:r>
          </w:p>
        </w:tc>
        <w:tc>
          <w:tcPr>
            <w:tcW w:type="dxa" w:w="1994"/>
            <w:vAlign w:val="top"/>
          </w:tcPr>
          <w:p>
            <w:r>
              <w:rPr>
                <w:sz w:val="16"/>
              </w:rPr>
              <w:t>CA-5</w:t>
            </w:r>
          </w:p>
        </w:tc>
      </w:tr>
      <w:tr>
        <w:tc>
          <w:tcPr>
            <w:tcW w:type="dxa" w:w="1994"/>
            <w:vAlign w:val="top"/>
          </w:tcPr>
          <w:p>
            <w:r>
              <w:rPr>
                <w:sz w:val="16"/>
              </w:rPr>
              <w:t>BHG aggregator — Sleeping Duck</w:t>
            </w:r>
          </w:p>
        </w:tc>
        <w:tc>
          <w:tcPr>
            <w:tcW w:type="dxa" w:w="1994"/>
            <w:vAlign w:val="top"/>
          </w:tcPr>
          <w:p>
            <w:r>
              <w:rPr>
                <w:sz w:val="16"/>
              </w:rPr>
              <w:t>Week of 5 May 2026</w:t>
            </w:r>
          </w:p>
        </w:tc>
        <w:tc>
          <w:tcPr>
            <w:tcW w:type="dxa" w:w="1994"/>
            <w:vAlign w:val="top"/>
          </w:tcPr>
          <w:p>
            <w:r>
              <w:rPr>
                <w:i/>
                <w:color w:val="2E74B5"/>
                <w:sz w:val="16"/>
              </w:rPr>
              <w:t>bhg.com.au (aggregator — unverified)</w:t>
            </w:r>
          </w:p>
        </w:tc>
        <w:tc>
          <w:tcPr>
            <w:tcW w:type="dxa" w:w="1994"/>
            <w:vAlign w:val="top"/>
          </w:tcPr>
          <w:p>
            <w:r>
              <w:rPr>
                <w:sz w:val="16"/>
              </w:rPr>
              <w:t>Medium</w:t>
            </w:r>
          </w:p>
        </w:tc>
        <w:tc>
          <w:tcPr>
            <w:tcW w:type="dxa" w:w="1994"/>
            <w:vAlign w:val="top"/>
          </w:tcPr>
          <w:p>
            <w:r>
              <w:rPr>
                <w:sz w:val="16"/>
              </w:rPr>
              <w:t>CA-7</w:t>
            </w:r>
          </w:p>
        </w:tc>
      </w:tr>
      <w:tr>
        <w:tc>
          <w:tcPr>
            <w:tcW w:type="dxa" w:w="1994"/>
            <w:vAlign w:val="top"/>
          </w:tcPr>
          <w:p>
            <w:r>
              <w:rPr>
                <w:sz w:val="16"/>
              </w:rPr>
              <w:t>Don't Pay Full aggregator — Ecosa</w:t>
            </w:r>
          </w:p>
        </w:tc>
        <w:tc>
          <w:tcPr>
            <w:tcW w:type="dxa" w:w="1994"/>
            <w:vAlign w:val="top"/>
          </w:tcPr>
          <w:p>
            <w:r>
              <w:rPr>
                <w:sz w:val="16"/>
              </w:rPr>
              <w:t>Week of 5 May 2026</w:t>
            </w:r>
          </w:p>
        </w:tc>
        <w:tc>
          <w:tcPr>
            <w:tcW w:type="dxa" w:w="1994"/>
            <w:vAlign w:val="top"/>
          </w:tcPr>
          <w:p>
            <w:r>
              <w:rPr>
                <w:i/>
                <w:color w:val="2E74B5"/>
                <w:sz w:val="16"/>
              </w:rPr>
              <w:t>dontpayfull.com (aggregator)</w:t>
            </w:r>
          </w:p>
        </w:tc>
        <w:tc>
          <w:tcPr>
            <w:tcW w:type="dxa" w:w="1994"/>
            <w:vAlign w:val="top"/>
          </w:tcPr>
          <w:p>
            <w:r>
              <w:rPr>
                <w:sz w:val="16"/>
              </w:rPr>
              <w:t>Medium</w:t>
            </w:r>
          </w:p>
        </w:tc>
        <w:tc>
          <w:tcPr>
            <w:tcW w:type="dxa" w:w="1994"/>
            <w:vAlign w:val="top"/>
          </w:tcPr>
          <w:p>
            <w:r>
              <w:rPr>
                <w:sz w:val="16"/>
              </w:rPr>
              <w:t>CA-8</w:t>
            </w:r>
          </w:p>
        </w:tc>
      </w:tr>
      <w:tr>
        <w:tc>
          <w:tcPr>
            <w:tcW w:type="dxa" w:w="1994"/>
            <w:vAlign w:val="top"/>
          </w:tcPr>
          <w:p>
            <w:r>
              <w:rPr>
                <w:sz w:val="16"/>
              </w:rPr>
              <w:t>BHG aggregator — Fantastic Furniture</w:t>
            </w:r>
          </w:p>
        </w:tc>
        <w:tc>
          <w:tcPr>
            <w:tcW w:type="dxa" w:w="1994"/>
            <w:vAlign w:val="top"/>
          </w:tcPr>
          <w:p>
            <w:r>
              <w:rPr>
                <w:sz w:val="16"/>
              </w:rPr>
              <w:t>Week of 5 May 2026</w:t>
            </w:r>
          </w:p>
        </w:tc>
        <w:tc>
          <w:tcPr>
            <w:tcW w:type="dxa" w:w="1994"/>
            <w:vAlign w:val="top"/>
          </w:tcPr>
          <w:p>
            <w:r>
              <w:rPr>
                <w:i/>
                <w:color w:val="2E74B5"/>
                <w:sz w:val="16"/>
              </w:rPr>
              <w:t>bhg.com.au (aggregator)</w:t>
            </w:r>
          </w:p>
        </w:tc>
        <w:tc>
          <w:tcPr>
            <w:tcW w:type="dxa" w:w="1994"/>
            <w:vAlign w:val="top"/>
          </w:tcPr>
          <w:p>
            <w:r>
              <w:rPr>
                <w:sz w:val="16"/>
              </w:rPr>
              <w:t>Medium</w:t>
            </w:r>
          </w:p>
        </w:tc>
        <w:tc>
          <w:tcPr>
            <w:tcW w:type="dxa" w:w="1994"/>
            <w:vAlign w:val="top"/>
          </w:tcPr>
          <w:p>
            <w:r>
              <w:rPr>
                <w:sz w:val="16"/>
              </w:rPr>
              <w:t>CA-9</w:t>
            </w:r>
          </w:p>
        </w:tc>
      </w:tr>
      <w:tr>
        <w:tc>
          <w:tcPr>
            <w:tcW w:type="dxa" w:w="1994"/>
            <w:vAlign w:val="top"/>
          </w:tcPr>
          <w:p>
            <w:r>
              <w:rPr>
                <w:sz w:val="16"/>
              </w:rPr>
              <w:t>ASX — Super Retail Group (SUL)</w:t>
            </w:r>
          </w:p>
        </w:tc>
        <w:tc>
          <w:tcPr>
            <w:tcW w:type="dxa" w:w="1994"/>
            <w:vAlign w:val="top"/>
          </w:tcPr>
          <w:p>
            <w:r>
              <w:rPr>
                <w:sz w:val="16"/>
              </w:rPr>
              <w:t>6 May 2026</w:t>
            </w:r>
          </w:p>
        </w:tc>
        <w:tc>
          <w:tcPr>
            <w:tcW w:type="dxa" w:w="1994"/>
            <w:vAlign w:val="top"/>
          </w:tcPr>
          <w:p>
            <w:r>
              <w:rPr>
                <w:i/>
                <w:color w:val="2E74B5"/>
                <w:sz w:val="16"/>
              </w:rPr>
              <w:t>asx.com.au/asx/share-price-research/company/SUL</w:t>
            </w:r>
          </w:p>
        </w:tc>
        <w:tc>
          <w:tcPr>
            <w:tcW w:type="dxa" w:w="1994"/>
            <w:vAlign w:val="top"/>
          </w:tcPr>
          <w:p>
            <w:r>
              <w:rPr>
                <w:sz w:val="16"/>
              </w:rPr>
              <w:t>High (ignored — no overlap)</w:t>
            </w:r>
          </w:p>
        </w:tc>
        <w:tc>
          <w:tcPr>
            <w:tcW w:type="dxa" w:w="1994"/>
            <w:vAlign w:val="top"/>
          </w:tcPr>
          <w:p>
            <w:r>
              <w:rPr>
                <w:sz w:val="16"/>
              </w:rPr>
              <w:t>CA-10, CMP-1</w:t>
            </w:r>
          </w:p>
        </w:tc>
      </w:tr>
      <w:tr>
        <w:tc>
          <w:tcPr>
            <w:tcW w:type="dxa" w:w="1994"/>
            <w:vAlign w:val="top"/>
          </w:tcPr>
          <w:p>
            <w:r>
              <w:rPr>
                <w:sz w:val="16"/>
              </w:rPr>
              <w:t>Investing.com — Nick Scali share price and analyst data</w:t>
            </w:r>
          </w:p>
        </w:tc>
        <w:tc>
          <w:tcPr>
            <w:tcW w:type="dxa" w:w="1994"/>
            <w:vAlign w:val="top"/>
          </w:tcPr>
          <w:p>
            <w:r>
              <w:rPr>
                <w:sz w:val="16"/>
              </w:rPr>
              <w:t>May 2026</w:t>
            </w:r>
          </w:p>
        </w:tc>
        <w:tc>
          <w:tcPr>
            <w:tcW w:type="dxa" w:w="1994"/>
            <w:vAlign w:val="top"/>
          </w:tcPr>
          <w:p>
            <w:r>
              <w:rPr>
                <w:i/>
                <w:color w:val="2E74B5"/>
                <w:sz w:val="16"/>
              </w:rPr>
              <w:t>investing.com</w:t>
            </w:r>
          </w:p>
        </w:tc>
        <w:tc>
          <w:tcPr>
            <w:tcW w:type="dxa" w:w="1994"/>
            <w:vAlign w:val="top"/>
          </w:tcPr>
          <w:p>
            <w:r>
              <w:rPr>
                <w:sz w:val="16"/>
              </w:rPr>
              <w:t>High</w:t>
            </w:r>
          </w:p>
        </w:tc>
        <w:tc>
          <w:tcPr>
            <w:tcW w:type="dxa" w:w="1994"/>
            <w:vAlign w:val="top"/>
          </w:tcPr>
          <w:p>
            <w:r>
              <w:rPr>
                <w:sz w:val="16"/>
              </w:rPr>
              <w:t>SO-8</w:t>
            </w:r>
          </w:p>
        </w:tc>
      </w:tr>
      <w:tr>
        <w:tc>
          <w:tcPr>
            <w:tcW w:type="dxa" w:w="1994"/>
            <w:vAlign w:val="top"/>
          </w:tcPr>
          <w:p>
            <w:r>
              <w:rPr>
                <w:sz w:val="16"/>
              </w:rPr>
              <w:t>Market aggregators — EV/EBITDA multiples</w:t>
            </w:r>
          </w:p>
        </w:tc>
        <w:tc>
          <w:tcPr>
            <w:tcW w:type="dxa" w:w="1994"/>
            <w:vAlign w:val="top"/>
          </w:tcPr>
          <w:p>
            <w:r>
              <w:rPr>
                <w:sz w:val="16"/>
              </w:rPr>
              <w:t>May 2026</w:t>
            </w:r>
          </w:p>
        </w:tc>
        <w:tc>
          <w:tcPr>
            <w:tcW w:type="dxa" w:w="1994"/>
            <w:vAlign w:val="top"/>
          </w:tcPr>
          <w:p>
            <w:r>
              <w:rPr>
                <w:i/>
                <w:color w:val="2E74B5"/>
                <w:sz w:val="16"/>
              </w:rPr>
              <w:t>Multiple (unverified; see review flag)</w:t>
            </w:r>
          </w:p>
        </w:tc>
        <w:tc>
          <w:tcPr>
            <w:tcW w:type="dxa" w:w="1994"/>
            <w:vAlign w:val="top"/>
          </w:tcPr>
          <w:p>
            <w:r>
              <w:rPr>
                <w:sz w:val="16"/>
              </w:rPr>
              <w:t>Medium</w:t>
            </w:r>
          </w:p>
        </w:tc>
        <w:tc>
          <w:tcPr>
            <w:tcW w:type="dxa" w:w="1994"/>
            <w:vAlign w:val="top"/>
          </w:tcPr>
          <w:p>
            <w:r>
              <w:rPr>
                <w:sz w:val="16"/>
              </w:rPr>
              <w:t>CMP-2 through CMP-5</w:t>
            </w:r>
          </w:p>
        </w:tc>
      </w:tr>
      <w:tr>
        <w:tc>
          <w:tcPr>
            <w:tcW w:type="dxa" w:w="1994"/>
            <w:vAlign w:val="top"/>
          </w:tcPr>
          <w:p>
            <w:r>
              <w:rPr>
                <w:sz w:val="16"/>
              </w:rPr>
              <w:t>Stock Titan — Tempur Sealy / Fullpower-AI partnership</w:t>
            </w:r>
          </w:p>
        </w:tc>
        <w:tc>
          <w:tcPr>
            <w:tcW w:type="dxa" w:w="1994"/>
            <w:vAlign w:val="top"/>
          </w:tcPr>
          <w:p>
            <w:r>
              <w:rPr>
                <w:sz w:val="16"/>
              </w:rPr>
              <w:t>May 2026</w:t>
            </w:r>
          </w:p>
        </w:tc>
        <w:tc>
          <w:tcPr>
            <w:tcW w:type="dxa" w:w="1994"/>
            <w:vAlign w:val="top"/>
          </w:tcPr>
          <w:p>
            <w:r>
              <w:rPr>
                <w:i/>
                <w:color w:val="2E74B5"/>
                <w:sz w:val="16"/>
              </w:rPr>
              <w:t>stocktitan.net</w:t>
            </w:r>
          </w:p>
        </w:tc>
        <w:tc>
          <w:tcPr>
            <w:tcW w:type="dxa" w:w="1994"/>
            <w:vAlign w:val="top"/>
          </w:tcPr>
          <w:p>
            <w:r>
              <w:rPr>
                <w:sz w:val="16"/>
              </w:rPr>
              <w:t>Medium (AU applicability unconfirmed)</w:t>
            </w:r>
          </w:p>
        </w:tc>
        <w:tc>
          <w:tcPr>
            <w:tcW w:type="dxa" w:w="1994"/>
            <w:vAlign w:val="top"/>
          </w:tcPr>
          <w:p>
            <w:r>
              <w:rPr>
                <w:sz w:val="16"/>
              </w:rPr>
              <w:t>CA (noted)</w:t>
            </w:r>
          </w:p>
        </w:tc>
      </w:tr>
      <w:tr>
        <w:tc>
          <w:tcPr>
            <w:tcW w:type="dxa" w:w="1994"/>
            <w:vAlign w:val="top"/>
          </w:tcPr>
          <w:p>
            <w:r>
              <w:rPr>
                <w:sz w:val="16"/>
              </w:rPr>
              <w:t>Drewry World Container Index (WCI)</w:t>
            </w:r>
          </w:p>
        </w:tc>
        <w:tc>
          <w:tcPr>
            <w:tcW w:type="dxa" w:w="1994"/>
            <w:vAlign w:val="top"/>
          </w:tcPr>
          <w:p>
            <w:r>
              <w:rPr>
                <w:sz w:val="16"/>
              </w:rPr>
              <w:t>30 Apr 2026</w:t>
            </w:r>
          </w:p>
        </w:tc>
        <w:tc>
          <w:tcPr>
            <w:tcW w:type="dxa" w:w="1994"/>
            <w:vAlign w:val="top"/>
          </w:tcPr>
          <w:p>
            <w:r>
              <w:rPr>
                <w:i/>
                <w:color w:val="2E74B5"/>
                <w:sz w:val="16"/>
              </w:rPr>
              <w:t>drewry.co.uk/supply-chain-advisors/supply-chain-expertise/world-container-index</w:t>
            </w:r>
          </w:p>
        </w:tc>
        <w:tc>
          <w:tcPr>
            <w:tcW w:type="dxa" w:w="1994"/>
            <w:vAlign w:val="top"/>
          </w:tcPr>
          <w:p>
            <w:r>
              <w:rPr>
                <w:sz w:val="16"/>
              </w:rPr>
              <w:t>High</w:t>
            </w:r>
          </w:p>
        </w:tc>
        <w:tc>
          <w:tcPr>
            <w:tcW w:type="dxa" w:w="1994"/>
            <w:vAlign w:val="top"/>
          </w:tcPr>
          <w:p>
            <w:r>
              <w:rPr>
                <w:sz w:val="16"/>
              </w:rPr>
              <w:t>IG-1, IG-6</w:t>
            </w:r>
          </w:p>
        </w:tc>
      </w:tr>
      <w:tr>
        <w:tc>
          <w:tcPr>
            <w:tcW w:type="dxa" w:w="1994"/>
            <w:vAlign w:val="top"/>
          </w:tcPr>
          <w:p>
            <w:r>
              <w:rPr>
                <w:sz w:val="16"/>
              </w:rPr>
              <w:t>EpicSourcing — ocean freight surcharge data</w:t>
            </w:r>
          </w:p>
        </w:tc>
        <w:tc>
          <w:tcPr>
            <w:tcW w:type="dxa" w:w="1994"/>
            <w:vAlign w:val="top"/>
          </w:tcPr>
          <w:p>
            <w:r>
              <w:rPr>
                <w:sz w:val="16"/>
              </w:rPr>
              <w:t>May 2026</w:t>
            </w:r>
          </w:p>
        </w:tc>
        <w:tc>
          <w:tcPr>
            <w:tcW w:type="dxa" w:w="1994"/>
            <w:vAlign w:val="top"/>
          </w:tcPr>
          <w:p>
            <w:r>
              <w:rPr>
                <w:i/>
                <w:color w:val="2E74B5"/>
                <w:sz w:val="16"/>
              </w:rPr>
              <w:t>epicsourcing.com.au</w:t>
            </w:r>
          </w:p>
        </w:tc>
        <w:tc>
          <w:tcPr>
            <w:tcW w:type="dxa" w:w="1994"/>
            <w:vAlign w:val="top"/>
          </w:tcPr>
          <w:p>
            <w:r>
              <w:rPr>
                <w:sz w:val="16"/>
              </w:rPr>
              <w:t>High</w:t>
            </w:r>
          </w:p>
        </w:tc>
        <w:tc>
          <w:tcPr>
            <w:tcW w:type="dxa" w:w="1994"/>
            <w:vAlign w:val="top"/>
          </w:tcPr>
          <w:p>
            <w:r>
              <w:rPr>
                <w:sz w:val="16"/>
              </w:rPr>
              <w:t>IG-6</w:t>
            </w:r>
          </w:p>
        </w:tc>
      </w:tr>
      <w:tr>
        <w:tc>
          <w:tcPr>
            <w:tcW w:type="dxa" w:w="1994"/>
            <w:vAlign w:val="top"/>
          </w:tcPr>
          <w:p>
            <w:r>
              <w:rPr>
                <w:sz w:val="16"/>
              </w:rPr>
              <w:t>Australia Post — fuel surcharge update</w:t>
            </w:r>
          </w:p>
        </w:tc>
        <w:tc>
          <w:tcPr>
            <w:tcW w:type="dxa" w:w="1994"/>
            <w:vAlign w:val="top"/>
          </w:tcPr>
          <w:p>
            <w:r>
              <w:rPr>
                <w:sz w:val="16"/>
              </w:rPr>
              <w:t>23 April 2026</w:t>
            </w:r>
          </w:p>
        </w:tc>
        <w:tc>
          <w:tcPr>
            <w:tcW w:type="dxa" w:w="1994"/>
            <w:vAlign w:val="top"/>
          </w:tcPr>
          <w:p>
            <w:r>
              <w:rPr>
                <w:i/>
                <w:color w:val="2E74B5"/>
                <w:sz w:val="16"/>
              </w:rPr>
              <w:t>auspost.com.au</w:t>
            </w:r>
          </w:p>
        </w:tc>
        <w:tc>
          <w:tcPr>
            <w:tcW w:type="dxa" w:w="1994"/>
            <w:vAlign w:val="top"/>
          </w:tcPr>
          <w:p>
            <w:r>
              <w:rPr>
                <w:sz w:val="16"/>
              </w:rPr>
              <w:t>Very High</w:t>
            </w:r>
          </w:p>
        </w:tc>
        <w:tc>
          <w:tcPr>
            <w:tcW w:type="dxa" w:w="1994"/>
            <w:vAlign w:val="top"/>
          </w:tcPr>
          <w:p>
            <w:r>
              <w:rPr>
                <w:sz w:val="16"/>
              </w:rPr>
              <w:t>IG-6</w:t>
            </w:r>
          </w:p>
        </w:tc>
      </w:tr>
      <w:tr>
        <w:tc>
          <w:tcPr>
            <w:tcW w:type="dxa" w:w="1994"/>
            <w:vAlign w:val="top"/>
          </w:tcPr>
          <w:p>
            <w:r>
              <w:rPr>
                <w:sz w:val="16"/>
              </w:rPr>
              <w:t>ABS Building Approvals / Dwelling Commencements</w:t>
            </w:r>
          </w:p>
        </w:tc>
        <w:tc>
          <w:tcPr>
            <w:tcW w:type="dxa" w:w="1994"/>
            <w:vAlign w:val="top"/>
          </w:tcPr>
          <w:p>
            <w:r>
              <w:rPr>
                <w:sz w:val="16"/>
              </w:rPr>
              <w:t>Q3 2025 data</w:t>
            </w:r>
          </w:p>
        </w:tc>
        <w:tc>
          <w:tcPr>
            <w:tcW w:type="dxa" w:w="1994"/>
            <w:vAlign w:val="top"/>
          </w:tcPr>
          <w:p>
            <w:r>
              <w:rPr>
                <w:i/>
                <w:color w:val="2E74B5"/>
                <w:sz w:val="16"/>
              </w:rPr>
              <w:t>abs.gov.au/statistics/industry/building-and-construction</w:t>
            </w:r>
          </w:p>
        </w:tc>
        <w:tc>
          <w:tcPr>
            <w:tcW w:type="dxa" w:w="1994"/>
            <w:vAlign w:val="top"/>
          </w:tcPr>
          <w:p>
            <w:r>
              <w:rPr>
                <w:sz w:val="16"/>
              </w:rPr>
              <w:t>High</w:t>
            </w:r>
          </w:p>
        </w:tc>
        <w:tc>
          <w:tcPr>
            <w:tcW w:type="dxa" w:w="1994"/>
            <w:vAlign w:val="top"/>
          </w:tcPr>
          <w:p>
            <w:r>
              <w:rPr>
                <w:sz w:val="16"/>
              </w:rPr>
              <w:t>IG-9</w:t>
            </w:r>
          </w:p>
        </w:tc>
      </w:tr>
      <w:tr>
        <w:tc>
          <w:tcPr>
            <w:tcW w:type="dxa" w:w="1994"/>
            <w:vAlign w:val="top"/>
          </w:tcPr>
          <w:p>
            <w:r>
              <w:rPr>
                <w:sz w:val="16"/>
              </w:rPr>
              <w:t>Motley Fool AU — Harvey Norman analysis</w:t>
            </w:r>
          </w:p>
        </w:tc>
        <w:tc>
          <w:tcPr>
            <w:tcW w:type="dxa" w:w="1994"/>
            <w:vAlign w:val="top"/>
          </w:tcPr>
          <w:p>
            <w:r>
              <w:rPr>
                <w:sz w:val="16"/>
              </w:rPr>
              <w:t>May 2026</w:t>
            </w:r>
          </w:p>
        </w:tc>
        <w:tc>
          <w:tcPr>
            <w:tcW w:type="dxa" w:w="1994"/>
            <w:vAlign w:val="top"/>
          </w:tcPr>
          <w:p>
            <w:r>
              <w:rPr>
                <w:i/>
                <w:color w:val="2E74B5"/>
                <w:sz w:val="16"/>
              </w:rPr>
              <w:t>fool.com.au</w:t>
            </w:r>
          </w:p>
        </w:tc>
        <w:tc>
          <w:tcPr>
            <w:tcW w:type="dxa" w:w="1994"/>
            <w:vAlign w:val="top"/>
          </w:tcPr>
          <w:p>
            <w:r>
              <w:rPr>
                <w:sz w:val="16"/>
              </w:rPr>
              <w:t>Medium-High (commentary, not primary)</w:t>
            </w:r>
          </w:p>
        </w:tc>
        <w:tc>
          <w:tcPr>
            <w:tcW w:type="dxa" w:w="1994"/>
            <w:vAlign w:val="top"/>
          </w:tcPr>
          <w:p>
            <w:r>
              <w:rPr>
                <w:sz w:val="16"/>
              </w:rPr>
              <w:t>CA-3</w:t>
            </w:r>
          </w:p>
        </w:tc>
      </w:tr>
    </w:tbl>
    <w:p/>
    <w:p>
      <w:pPr>
        <w:pStyle w:val="Heading1"/>
      </w:pPr>
      <w:r>
        <w:rPr>
          <w:b/>
          <w:color w:val="1F3664"/>
          <w:sz w:val="32"/>
        </w:rPr>
        <w:t>5. Human Review and Approval Record</w:t>
      </w:r>
    </w:p>
    <w:p>
      <w:pPr>
        <w:spacing w:after="120"/>
      </w:pPr>
      <w:r>
        <w:rPr>
          <w:b/>
          <w:i w:val="0"/>
          <w:color w:val="404040"/>
          <w:sz w:val="20"/>
        </w:rPr>
        <w:t>This research cycle has been reviewed and approved for document generation by the human reviewer.</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t>Approval status</w:t>
            </w:r>
          </w:p>
        </w:tc>
        <w:tc>
          <w:tcPr>
            <w:tcW w:type="dxa" w:w="4986"/>
          </w:tcPr>
          <w:p>
            <w:r>
              <w:rPr>
                <w:sz w:val="18"/>
              </w:rPr>
              <w:t>APPROVED — documents generated post approval</w:t>
            </w:r>
          </w:p>
        </w:tc>
      </w:tr>
      <w:tr>
        <w:tc>
          <w:tcPr>
            <w:tcW w:type="dxa" w:w="4986"/>
          </w:tcPr>
          <w:p>
            <w:r>
              <w:rPr>
                <w:b/>
                <w:sz w:val="18"/>
              </w:rPr>
              <w:t>Approval date</w:t>
            </w:r>
          </w:p>
        </w:tc>
        <w:tc>
          <w:tcPr>
            <w:tcW w:type="dxa" w:w="4986"/>
          </w:tcPr>
          <w:p>
            <w:r>
              <w:rPr>
                <w:sz w:val="18"/>
              </w:rPr>
              <w:t>8 May 2026</w:t>
            </w:r>
          </w:p>
        </w:tc>
      </w:tr>
      <w:tr>
        <w:tc>
          <w:tcPr>
            <w:tcW w:type="dxa" w:w="4986"/>
          </w:tcPr>
          <w:p>
            <w:r>
              <w:rPr>
                <w:b/>
                <w:sz w:val="18"/>
              </w:rPr>
              <w:t>Approving party</w:t>
            </w:r>
          </w:p>
        </w:tc>
        <w:tc>
          <w:tcPr>
            <w:tcW w:type="dxa" w:w="4986"/>
          </w:tcPr>
          <w:p>
            <w:r>
              <w:rPr>
                <w:sz w:val="18"/>
              </w:rPr>
              <w:t>Human reviewer (Hypnos Group / LK Group)</w:t>
            </w:r>
          </w:p>
        </w:tc>
      </w:tr>
      <w:tr>
        <w:tc>
          <w:tcPr>
            <w:tcW w:type="dxa" w:w="4986"/>
          </w:tcPr>
          <w:p>
            <w:r>
              <w:rPr>
                <w:b/>
                <w:sz w:val="18"/>
              </w:rPr>
              <w:t>Documents generated</w:t>
            </w:r>
          </w:p>
        </w:tc>
        <w:tc>
          <w:tcPr>
            <w:tcW w:type="dxa" w:w="4986"/>
          </w:tcPr>
          <w:p>
            <w:r>
              <w:rPr>
                <w:sz w:val="18"/>
              </w:rPr>
              <w:t>lkg-furniture-gm-weekly-digest.docx; lkg-furniture-board-weekly-digest.docx; lkg-furniture-internal-source-log.docx</w:t>
            </w:r>
          </w:p>
        </w:tc>
      </w:tr>
      <w:tr>
        <w:tc>
          <w:tcPr>
            <w:tcW w:type="dxa" w:w="4986"/>
          </w:tcPr>
          <w:p>
            <w:r>
              <w:rPr>
                <w:b/>
                <w:sz w:val="18"/>
              </w:rPr>
              <w:t>Classification applied</w:t>
            </w:r>
          </w:p>
        </w:tc>
        <w:tc>
          <w:tcPr>
            <w:tcW w:type="dxa" w:w="4986"/>
          </w:tcPr>
          <w:p>
            <w:r>
              <w:rPr>
                <w:sz w:val="18"/>
              </w:rPr>
              <w:t>GM / Board / Both / Ignored — as per classification summary above</w:t>
            </w:r>
          </w:p>
        </w:tc>
      </w:tr>
    </w:tbl>
    <w:p/>
    <w:p>
      <w:pPr>
        <w:spacing w:before="80" w:after="80"/>
        <w:pBdr>
          <w:bottom w:val="single" w:sz="6" w:space="1" w:color="2E74B5"/>
        </w:pBdr>
      </w:pPr>
    </w:p>
    <w:p>
      <w:pPr>
        <w:spacing w:before="160"/>
      </w:pPr>
      <w:r>
        <w:rPr>
          <w:i/>
          <w:color w:val="707070"/>
          <w:sz w:val="16"/>
        </w:rPr>
        <w:t>DRAFT - APPROVED FOR INTERNAL DISTRIBUTION ONLY. Do not forward, publish, or circulate outside Hypnos Group (LK Group) without authorisation. Prepared: 8 May 2026. Week: May 1-8, 2026.</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