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YERAY Y. LAFONTAINE MARTINEZ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IT &amp; Cloud Security Engineer  |  Previously Held U.S. Secret Clearance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contact@lafontainesec.dev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github.com/V3ND3D</w:t>
      </w:r>
      <w:r>
        <w:rPr>
          <w:rFonts w:ascii="Arial" w:cs="Arial" w:eastAsia="Arial" w:hAnsi="Arial"/>
          <w:color w:val="595959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2E75B6"/>
          <w:sz w:val="19"/>
          <w:szCs w:val="19"/>
        </w:rPr>
        <w:t xml:space="preserve">selective-bracket-dbc.notion.site/yeray-lafontaine-cloud-security-engineer-portfolio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Hands-on IT &amp; Cloud Security Engineer with experience designing and operating cloud-native security programs in healthcare environments. Sole security owner across a multi-site organization managing Identity, Endpoint, Data Protection, and Network security domains on Microsoft 365 and Azure. Previously held U.S. Secret Clearance. Pursuing B.S. in Cybersecurity at WGU.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Identity &amp; Access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 ID (P1), Conditional Access, phishing-resistant MFA, FIDO2, RBAC, Zero Trust, legacy auth blocking, break-glass governance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Endpoint 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Defender for Business (EDR block mode), ASR, tamper protection, Intune MDM/MAM, Autopilot, BitLocker, Windows LAPS, Secure Score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Cloud &amp; Compliance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Purview (DLP, sensitivity labels, retention), Defender for Office 365, Azure Log Analytics, HIPAA technical safeguards, risk-based controls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Network Security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Meraki MX firewall, site-to-site AutoVPN, DHCP/NAT governance, Wi-Fi segmentation, firewall rule management, DNS, secure remote access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Systems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hardening, Windows Server (foundational), Linux/Ubuntu (LVM encryption), macOS, BIOS/UEFI, OS deployment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Frameworks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HIPAA Security Rule, NIST CSF, NIST 800-53, CIS Controls, MITRE ATT&amp;CK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Tools &amp; Platforms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Log Analytics (KQL), Jira, Notion, Excel (advanced), Power BI, SharePoint, Google Workspace</w:t>
            </w:r>
          </w:p>
        </w:tc>
      </w:tr>
    </w:tbl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IT &amp; Cloud Security Engineer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Eric Feldmann, LLC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San Juan, PR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Sep 2025 – Present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Security Architecture &amp; Program Ownership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Sole security owner for a HIPAA-aligned, cloud-native security program spanning 5 clinical sites and ~25 endpoints across Delaware.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full security architecture covering Identity, Endpoint, Data Protection, Monitoring, and Network domains from the ground up.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Increased Microsoft Secure Score from ~40% to &gt;96% through structured control implementation and configuration hardening.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Authored executive and technical governance documentation aligned to HIPAA Security Rule, NIST CSF, and CIS Controls.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Identity &amp; Access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Entra ID as authoritative IdP with Conditional Access, tenant-wide MFA, legacy authentication blocking, and phishing-resistant enforcement.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least-privilege RBAC model with structured security groups and scoped administrative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Established break-glass emergency access governance aligned to HIPAA §164.312(a)(2)(i).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Centralized Entra diagnostic logging into Azure Log Analytics for identity audit and anomaly visibility.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Endpoint &amp; Compliance Engineering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Architected full Windows 11 compliance framework: BitLocker, Secure Boot, TPM health, Defender risk evaluation, and firewall baselines enforced via Intune.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Engineered automated device lifecycle pipeline via Autopilot → configuration profiles → security baselines → compliance enforcement.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Implemented Windows LAPS and removed standing local admin privileges across all managed endpoints.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Network Infrastructure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Designed and deployed standardized Meraki-based topology across 5 sites: MX75 firewalls, hub-and-spoke AutoVPN, DHCP/NAT governance, and AP segmentation.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Sole architect and admin for all network boundary enforcement, site connectivity, and secure egress controls.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i/>
          <w:iCs/>
          <w:color w:val="595959"/>
          <w:sz w:val="20"/>
          <w:szCs w:val="20"/>
        </w:rPr>
        <w:t xml:space="preserve">Incident Response &amp; Operations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Single escalation point for Tier 1–3 incidents: DNS, VPN, firewall, identity, endpoint compromise, and workstation recovery.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Conduct Defender investigation, identity log review, and endpoint containment for security events.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Hardened Google Workspace security posture via OAuth restrictions and application governance controls.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Database Specialist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Caduceus LLC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Bayamón, PR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Mar 2024 – Feb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Maintained and validated 5,000+ federal applicant records using Excel and PCRecruiter (SQL-backed).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Generated automated compliance reporting and served as IT point-of-contact for Windows/macOS troubleshooting.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Organized SharePoint documentation structures to improve team workflow and accessibility.</w:t>
      </w:r>
    </w:p>
    <w:p>
      <w:pPr>
        <w:tabs>
          <w:tab w:val="right" w:pos="9360"/>
        </w:tabs>
        <w:spacing w:after="40" w:before="1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Enlisted Trainee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U.S. Army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|  Fort Leonard Wood, MO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Jun 2023 – Oct 2023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Completed Basic Combat Training; developed discipline, high-stress performance, and team coordination skills.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Security clearance background investigation initiated during this period (Secret level).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B.S. Cybersecurity &amp; Information Assurance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	Expected Dec 2027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Western Governors University  |  Salt Lake City, UT</w:t>
      </w:r>
    </w:p>
    <w:p>
      <w:pPr>
        <w:spacing w:after="20" w:before="4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Program includes the following certifications (earned upon course completion):</w:t>
      </w:r>
    </w:p>
    <w:p>
      <w:p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CompTIA A+, Network+, Security+, CySA+, PenTest+, Data+, Project+  •  ITIL 4 Foundation  •  LPI Linux Essentials  •  SSCP (ISC² Associate)  •  CCSP (voucher provided)</w:t>
      </w:r>
    </w:p>
    <w:p>
      <w:pPr>
        <w:pBdr>
          <w:bottom w:val="single" w:color="2E75B6" w:sz="8" w:space="2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ADDITIONAL CERTIFICATIONS (IN PROGRESS / PLANNED)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Azure Fundamentals (AZ-900) —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365 Endpoint Administrator (MD-102) — In Progress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20"/>
          <w:szCs w:val="20"/>
        </w:rPr>
        <w:t xml:space="preserve">Microsoft Azure Administrator (AZ-104) — Planned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2026-03-05T22:16:57.674Z</dcterms:created>
  <dcterms:modified xsi:type="dcterms:W3CDTF">2026-03-05T22:16:57.675Z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