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rFonts w:ascii="Aptos Display" w:hAnsi="Aptos Display"/>
          <w:b/>
          <w:color w:val="17365D"/>
          <w:sz w:val="28"/>
        </w:rPr>
        <w:t>International Cybersecurity and Digital Forensics Academy</w:t>
      </w:r>
    </w:p>
    <w:p>
      <w:pPr>
        <w:pStyle w:val="Title"/>
        <w:spacing w:before="560"/>
        <w:jc w:val="center"/>
      </w:pPr>
      <w:r>
        <w:t>SentinelNet AI Defense Fabric</w:t>
      </w:r>
    </w:p>
    <w:p>
      <w:pPr>
        <w:jc w:val="center"/>
      </w:pPr>
      <w:r>
        <w:rPr>
          <w:rFonts w:ascii="Aptos Display" w:hAnsi="Aptos Display"/>
          <w:b/>
          <w:color w:val="17365D"/>
          <w:sz w:val="40"/>
        </w:rPr>
        <w:t>AICS 109 Capstone Report</w:t>
      </w:r>
    </w:p>
    <w:p>
      <w:pPr>
        <w:spacing w:before="400"/>
        <w:jc w:val="center"/>
      </w:pPr>
      <w:r>
        <w:rPr>
          <w:i/>
          <w:sz w:val="26"/>
        </w:rPr>
        <w:t>AI for Advanced Network Defense</w:t>
      </w:r>
    </w:p>
    <w:p>
      <w:pPr>
        <w:spacing w:before="3500"/>
        <w:jc w:val="center"/>
      </w:pPr>
      <w:r>
        <w:rPr>
          <w:color w:val="505050"/>
          <w:sz w:val="21"/>
        </w:rPr>
        <w:t>Final submission based on reproducible run 2026 09 03</w:t>
      </w:r>
    </w:p>
    <w:p>
      <w:pPr>
        <w:jc w:val="center"/>
      </w:pPr>
      <w:r>
        <w:rPr>
          <w:b/>
          <w:sz w:val="21"/>
        </w:rPr>
        <w:t>AI Driven Cybersecurity and Digital Forensics Fellowship</w:t>
      </w:r>
    </w:p>
    <w:p>
      <w:pPr>
        <w:spacing w:before="180"/>
        <w:jc w:val="center"/>
      </w:pPr>
      <w:r>
        <w:rPr>
          <w:b/>
          <w:sz w:val="21"/>
        </w:rPr>
        <w:t>Student: ijudigal jarafu | Registration No: 2026/AICDF/16789</w:t>
      </w:r>
    </w:p>
    <w:p>
      <w:r>
        <w:br w:type="page"/>
      </w:r>
    </w:p>
    <w:p>
      <w:pPr>
        <w:pStyle w:val="Heading1"/>
        <w:keepNext/>
      </w:pPr>
      <w:r>
        <w:t>Report Contents</w:t>
      </w:r>
    </w:p>
    <w:p>
      <w:r>
        <w:t>1 Executive Summary</w:t>
      </w:r>
    </w:p>
    <w:p>
      <w:r>
        <w:t>2 Lab Environment</w:t>
      </w:r>
    </w:p>
    <w:p>
      <w:r>
        <w:t>3 Dataset and Telemetry</w:t>
      </w:r>
    </w:p>
    <w:p>
      <w:r>
        <w:t>4 Feature Engineering</w:t>
      </w:r>
    </w:p>
    <w:p>
      <w:r>
        <w:t>5 Supervised Model</w:t>
      </w:r>
    </w:p>
    <w:p>
      <w:r>
        <w:t>6 Anomaly Model</w:t>
      </w:r>
    </w:p>
    <w:p>
      <w:r>
        <w:t>7 Sequence Model</w:t>
      </w:r>
    </w:p>
    <w:p>
      <w:r>
        <w:t>8 Alert Fusion and ATT&amp;CK Mapping</w:t>
      </w:r>
    </w:p>
    <w:p>
      <w:r>
        <w:t>9 AI Response Recommendation</w:t>
      </w:r>
    </w:p>
    <w:p>
      <w:r>
        <w:t>10 Limitations and Future Work</w:t>
      </w:r>
    </w:p>
    <w:p>
      <w:r>
        <w:t>Appendix A Commands</w:t>
      </w:r>
    </w:p>
    <w:p>
      <w:r>
        <w:t>Appendix B Outputs</w:t>
      </w:r>
    </w:p>
    <w:p>
      <w:pPr>
        <w:pStyle w:val="Heading1"/>
        <w:keepNext/>
      </w:pPr>
      <w:r>
        <w:t>1 Executive Summary</w:t>
      </w:r>
    </w:p>
    <w:p>
      <w:r>
        <w:t>SentinelNet is a controlled-lab network defense prototype that converts flow telemetry into evidence-rich alerts for analyst review. The final implementation trains and reloads a residual multilayer perceptron, an autoencoder, an Isolation Forest, and a gated recurrent unit model; combines their evidence with telemetry, sensor, and asset context; maps candidate threats to ATT&amp;CK; and emits recommendations that cannot execute network changes.</w:t>
      </w:r>
    </w:p>
    <w:p>
      <w:r>
        <w:t>The final run generated 12,000 deterministic synthetic flows and processed the first 1,000 flows through an end-to-end streaming integration demonstration. It produced 384 alerts at the configured medium threshold of 65. This stream overlaps the model-development corpus and is not an independent evaluation set. Held-out model results were: supervised macro F1 0.9987, autoencoder anomaly macro F1 0.9595, Isolation Forest macro F1 0.7942, and sequence GRU macro F1 0.1223. The low GRU result is retained and explained because the synthetic labels do not contain realistic campaign-level temporal dependence.</w:t>
      </w:r>
    </w:p>
    <w:p>
      <w:r>
        <w:t>Recommendation: treat the system as a reproducible engineering demonstration, not a production control. The next validation must use authorized real telemetry, realistic attack sequences, calibrated thresholds, drift monitoring, and analyst-approved response integration.</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376"/>
            <w:shd w:fill="17365D"/>
            <w:vAlign w:val="center"/>
            <w:tcMar>
              <w:top w:w="90" w:type="dxa"/>
              <w:start w:w="95" w:type="dxa"/>
              <w:bottom w:w="90" w:type="dxa"/>
              <w:end w:w="95" w:type="dxa"/>
            </w:tcMar>
          </w:tcPr>
          <w:p>
            <w:pPr>
              <w:spacing w:after="0" w:line="240" w:lineRule="auto"/>
              <w:jc w:val="left"/>
            </w:pPr>
            <w:r/>
            <w:r>
              <w:rPr>
                <w:rFonts w:ascii="Aptos" w:hAnsi="Aptos"/>
                <w:b/>
                <w:color w:val="FFFFFF"/>
                <w:sz w:val="17"/>
              </w:rPr>
              <w:t>Outcome</w:t>
            </w:r>
          </w:p>
        </w:tc>
        <w:tc>
          <w:tcPr>
            <w:tcW w:type="dxa" w:w="7704"/>
            <w:shd w:fill="17365D"/>
            <w:vAlign w:val="center"/>
            <w:tcMar>
              <w:top w:w="90" w:type="dxa"/>
              <w:start w:w="95" w:type="dxa"/>
              <w:bottom w:w="90" w:type="dxa"/>
              <w:end w:w="95" w:type="dxa"/>
            </w:tcMar>
          </w:tcPr>
          <w:p>
            <w:pPr>
              <w:spacing w:after="0" w:line="240" w:lineRule="auto"/>
              <w:jc w:val="left"/>
            </w:pPr>
            <w:r/>
            <w:r>
              <w:rPr>
                <w:rFonts w:ascii="Aptos" w:hAnsi="Aptos"/>
                <w:b/>
                <w:color w:val="FFFFFF"/>
                <w:sz w:val="17"/>
              </w:rPr>
              <w:t>Evidence</w:t>
            </w:r>
          </w:p>
        </w:tc>
      </w:tr>
      <w:tr>
        <w:tc>
          <w:tcPr>
            <w:tcW w:type="dxa" w:w="2376"/>
            <w:vAlign w:val="center"/>
            <w:tcMar>
              <w:top w:w="90" w:type="dxa"/>
              <w:start w:w="95" w:type="dxa"/>
              <w:bottom w:w="90" w:type="dxa"/>
              <w:end w:w="95" w:type="dxa"/>
            </w:tcMar>
          </w:tcPr>
          <w:p>
            <w:pPr>
              <w:spacing w:after="0" w:line="240" w:lineRule="auto"/>
              <w:jc w:val="center"/>
            </w:pPr>
            <w:r/>
            <w:r>
              <w:rPr>
                <w:rFonts w:ascii="Aptos" w:hAnsi="Aptos"/>
                <w:b w:val="0"/>
                <w:color w:val="000000"/>
                <w:sz w:val="17"/>
              </w:rPr>
              <w:t>Reproducibility</w:t>
            </w:r>
          </w:p>
        </w:tc>
        <w:tc>
          <w:tcPr>
            <w:tcW w:type="dxa" w:w="7704"/>
            <w:vAlign w:val="center"/>
            <w:tcMar>
              <w:top w:w="90" w:type="dxa"/>
              <w:start w:w="95" w:type="dxa"/>
              <w:bottom w:w="90" w:type="dxa"/>
              <w:end w:w="95" w:type="dxa"/>
            </w:tcMar>
          </w:tcPr>
          <w:p>
            <w:pPr>
              <w:spacing w:after="0" w:line="240" w:lineRule="auto"/>
              <w:jc w:val="left"/>
            </w:pPr>
            <w:r/>
            <w:r>
              <w:rPr>
                <w:rFonts w:ascii="Aptos" w:hAnsi="Aptos"/>
                <w:b w:val="0"/>
                <w:color w:val="000000"/>
                <w:sz w:val="17"/>
              </w:rPr>
              <w:t>Seed 42, one-command pipeline, version and timing log</w:t>
            </w:r>
          </w:p>
        </w:tc>
      </w:tr>
      <w:tr>
        <w:tc>
          <w:tcPr>
            <w:tcW w:type="dxa" w:w="2376"/>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7"/>
              </w:rPr>
              <w:t>Evaluation</w:t>
            </w:r>
          </w:p>
        </w:tc>
        <w:tc>
          <w:tcPr>
            <w:tcW w:type="dxa" w:w="7704"/>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7"/>
              </w:rPr>
              <w:t>Separate test data; training-only preprocessing and threshold selection</w:t>
            </w:r>
          </w:p>
        </w:tc>
      </w:tr>
      <w:tr>
        <w:tc>
          <w:tcPr>
            <w:tcW w:type="dxa" w:w="2376"/>
            <w:vAlign w:val="center"/>
            <w:tcMar>
              <w:top w:w="90" w:type="dxa"/>
              <w:start w:w="95" w:type="dxa"/>
              <w:bottom w:w="90" w:type="dxa"/>
              <w:end w:w="95" w:type="dxa"/>
            </w:tcMar>
          </w:tcPr>
          <w:p>
            <w:pPr>
              <w:spacing w:after="0" w:line="240" w:lineRule="auto"/>
              <w:jc w:val="center"/>
            </w:pPr>
            <w:r/>
            <w:r>
              <w:rPr>
                <w:rFonts w:ascii="Aptos" w:hAnsi="Aptos"/>
                <w:b w:val="0"/>
                <w:color w:val="000000"/>
                <w:sz w:val="17"/>
              </w:rPr>
              <w:t>Explainability</w:t>
            </w:r>
          </w:p>
        </w:tc>
        <w:tc>
          <w:tcPr>
            <w:tcW w:type="dxa" w:w="7704"/>
            <w:vAlign w:val="center"/>
            <w:tcMar>
              <w:top w:w="90" w:type="dxa"/>
              <w:start w:w="95" w:type="dxa"/>
              <w:bottom w:w="90" w:type="dxa"/>
              <w:end w:w="95" w:type="dxa"/>
            </w:tcMar>
          </w:tcPr>
          <w:p>
            <w:pPr>
              <w:spacing w:after="0" w:line="240" w:lineRule="auto"/>
              <w:jc w:val="left"/>
            </w:pPr>
            <w:r/>
            <w:r>
              <w:rPr>
                <w:rFonts w:ascii="Aptos" w:hAnsi="Aptos"/>
                <w:b w:val="0"/>
                <w:color w:val="000000"/>
                <w:sz w:val="17"/>
              </w:rPr>
              <w:t>Every alert exposes six risk components and supporting telemetry</w:t>
            </w:r>
          </w:p>
        </w:tc>
      </w:tr>
      <w:tr>
        <w:tc>
          <w:tcPr>
            <w:tcW w:type="dxa" w:w="2376"/>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7"/>
              </w:rPr>
              <w:t>Safety</w:t>
            </w:r>
          </w:p>
        </w:tc>
        <w:tc>
          <w:tcPr>
            <w:tcW w:type="dxa" w:w="7704"/>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7"/>
              </w:rPr>
              <w:t>Dry-run recommendations with mandatory human approval</w:t>
            </w:r>
          </w:p>
        </w:tc>
      </w:tr>
      <w:tr>
        <w:tc>
          <w:tcPr>
            <w:tcW w:type="dxa" w:w="2376"/>
            <w:vAlign w:val="center"/>
            <w:tcMar>
              <w:top w:w="90" w:type="dxa"/>
              <w:start w:w="95" w:type="dxa"/>
              <w:bottom w:w="90" w:type="dxa"/>
              <w:end w:w="95" w:type="dxa"/>
            </w:tcMar>
          </w:tcPr>
          <w:p>
            <w:pPr>
              <w:spacing w:after="0" w:line="240" w:lineRule="auto"/>
              <w:jc w:val="center"/>
            </w:pPr>
            <w:r/>
            <w:r>
              <w:rPr>
                <w:rFonts w:ascii="Aptos" w:hAnsi="Aptos"/>
                <w:b w:val="0"/>
                <w:color w:val="000000"/>
                <w:sz w:val="17"/>
              </w:rPr>
              <w:t>Verification</w:t>
            </w:r>
          </w:p>
        </w:tc>
        <w:tc>
          <w:tcPr>
            <w:tcW w:type="dxa" w:w="7704"/>
            <w:vAlign w:val="center"/>
            <w:tcMar>
              <w:top w:w="90" w:type="dxa"/>
              <w:start w:w="95" w:type="dxa"/>
              <w:bottom w:w="90" w:type="dxa"/>
              <w:end w:w="95" w:type="dxa"/>
            </w:tcMar>
          </w:tcPr>
          <w:p>
            <w:pPr>
              <w:spacing w:after="0" w:line="240" w:lineRule="auto"/>
              <w:jc w:val="left"/>
            </w:pPr>
            <w:r/>
            <w:r>
              <w:rPr>
                <w:rFonts w:ascii="Aptos" w:hAnsi="Aptos"/>
                <w:b w:val="0"/>
                <w:color w:val="000000"/>
                <w:sz w:val="17"/>
              </w:rPr>
              <w:t>38 automated tests and deliverable consistency validation</w:t>
            </w:r>
          </w:p>
        </w:tc>
      </w:tr>
    </w:tbl>
    <w:p>
      <w:pPr>
        <w:spacing w:after="40"/>
      </w:pPr>
    </w:p>
    <w:p>
      <w:r>
        <w:br w:type="page"/>
      </w:r>
    </w:p>
    <w:p>
      <w:pPr>
        <w:pStyle w:val="Heading1"/>
        <w:keepNext/>
      </w:pPr>
      <w:r>
        <w:t>2 Lab Environment</w:t>
      </w:r>
    </w:p>
    <w:p>
      <w:r>
        <w:t>The final pipeline ran on Ubuntu 22.04 with Linux kernel 6.8.0 on an x86_64 host. The machine exposed four Intel Celeron N2920 cores at 1.86 GHz, 7.6 GiB RAM, and 2.0 GiB swap. Training used CPU-only PyTorch.</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880"/>
            <w:shd w:fill="17365D"/>
            <w:vAlign w:val="center"/>
            <w:tcMar>
              <w:top w:w="90" w:type="dxa"/>
              <w:start w:w="95" w:type="dxa"/>
              <w:bottom w:w="90" w:type="dxa"/>
              <w:end w:w="95" w:type="dxa"/>
            </w:tcMar>
          </w:tcPr>
          <w:p>
            <w:pPr>
              <w:spacing w:after="0" w:line="240" w:lineRule="auto"/>
              <w:jc w:val="left"/>
            </w:pPr>
            <w:r/>
            <w:r>
              <w:rPr>
                <w:rFonts w:ascii="Aptos" w:hAnsi="Aptos"/>
                <w:b/>
                <w:color w:val="FFFFFF"/>
                <w:sz w:val="17"/>
              </w:rPr>
              <w:t>Component</w:t>
            </w:r>
          </w:p>
        </w:tc>
        <w:tc>
          <w:tcPr>
            <w:tcW w:type="dxa" w:w="7200"/>
            <w:shd w:fill="17365D"/>
            <w:vAlign w:val="center"/>
            <w:tcMar>
              <w:top w:w="90" w:type="dxa"/>
              <w:start w:w="95" w:type="dxa"/>
              <w:bottom w:w="90" w:type="dxa"/>
              <w:end w:w="95" w:type="dxa"/>
            </w:tcMar>
          </w:tcPr>
          <w:p>
            <w:pPr>
              <w:spacing w:after="0" w:line="240" w:lineRule="auto"/>
              <w:jc w:val="left"/>
            </w:pPr>
            <w:r/>
            <w:r>
              <w:rPr>
                <w:rFonts w:ascii="Aptos" w:hAnsi="Aptos"/>
                <w:b/>
                <w:color w:val="FFFFFF"/>
                <w:sz w:val="17"/>
              </w:rPr>
              <w:t>Recorded value</w:t>
            </w:r>
          </w:p>
        </w:tc>
      </w:tr>
      <w:tr>
        <w:tc>
          <w:tcPr>
            <w:tcW w:type="dxa" w:w="2880"/>
            <w:vAlign w:val="center"/>
            <w:tcMar>
              <w:top w:w="90" w:type="dxa"/>
              <w:start w:w="95" w:type="dxa"/>
              <w:bottom w:w="90" w:type="dxa"/>
              <w:end w:w="95" w:type="dxa"/>
            </w:tcMar>
          </w:tcPr>
          <w:p>
            <w:pPr>
              <w:spacing w:after="0" w:line="240" w:lineRule="auto"/>
              <w:jc w:val="center"/>
            </w:pPr>
            <w:r/>
            <w:r>
              <w:rPr>
                <w:rFonts w:ascii="Aptos" w:hAnsi="Aptos"/>
                <w:b w:val="0"/>
                <w:color w:val="000000"/>
                <w:sz w:val="17"/>
              </w:rPr>
              <w:t>Python</w:t>
            </w:r>
          </w:p>
        </w:tc>
        <w:tc>
          <w:tcPr>
            <w:tcW w:type="dxa" w:w="7200"/>
            <w:vAlign w:val="center"/>
            <w:tcMar>
              <w:top w:w="90" w:type="dxa"/>
              <w:start w:w="95" w:type="dxa"/>
              <w:bottom w:w="90" w:type="dxa"/>
              <w:end w:w="95" w:type="dxa"/>
            </w:tcMar>
          </w:tcPr>
          <w:p>
            <w:pPr>
              <w:spacing w:after="0" w:line="240" w:lineRule="auto"/>
              <w:jc w:val="center"/>
            </w:pPr>
            <w:r/>
            <w:r>
              <w:rPr>
                <w:rFonts w:ascii="Aptos" w:hAnsi="Aptos"/>
                <w:b w:val="0"/>
                <w:color w:val="000000"/>
                <w:sz w:val="17"/>
              </w:rPr>
              <w:t>3.10.12</w:t>
            </w:r>
          </w:p>
        </w:tc>
      </w:tr>
      <w:tr>
        <w:tc>
          <w:tcPr>
            <w:tcW w:type="dxa" w:w="288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7"/>
              </w:rPr>
              <w:t>pandas</w:t>
            </w:r>
          </w:p>
        </w:tc>
        <w:tc>
          <w:tcPr>
            <w:tcW w:type="dxa" w:w="720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7"/>
              </w:rPr>
              <w:t>2.3.3</w:t>
            </w:r>
          </w:p>
        </w:tc>
      </w:tr>
      <w:tr>
        <w:tc>
          <w:tcPr>
            <w:tcW w:type="dxa" w:w="2880"/>
            <w:vAlign w:val="center"/>
            <w:tcMar>
              <w:top w:w="90" w:type="dxa"/>
              <w:start w:w="95" w:type="dxa"/>
              <w:bottom w:w="90" w:type="dxa"/>
              <w:end w:w="95" w:type="dxa"/>
            </w:tcMar>
          </w:tcPr>
          <w:p>
            <w:pPr>
              <w:spacing w:after="0" w:line="240" w:lineRule="auto"/>
              <w:jc w:val="center"/>
            </w:pPr>
            <w:r/>
            <w:r>
              <w:rPr>
                <w:rFonts w:ascii="Aptos" w:hAnsi="Aptos"/>
                <w:b w:val="0"/>
                <w:color w:val="000000"/>
                <w:sz w:val="17"/>
              </w:rPr>
              <w:t>NumPy</w:t>
            </w:r>
          </w:p>
        </w:tc>
        <w:tc>
          <w:tcPr>
            <w:tcW w:type="dxa" w:w="7200"/>
            <w:vAlign w:val="center"/>
            <w:tcMar>
              <w:top w:w="90" w:type="dxa"/>
              <w:start w:w="95" w:type="dxa"/>
              <w:bottom w:w="90" w:type="dxa"/>
              <w:end w:w="95" w:type="dxa"/>
            </w:tcMar>
          </w:tcPr>
          <w:p>
            <w:pPr>
              <w:spacing w:after="0" w:line="240" w:lineRule="auto"/>
              <w:jc w:val="center"/>
            </w:pPr>
            <w:r/>
            <w:r>
              <w:rPr>
                <w:rFonts w:ascii="Aptos" w:hAnsi="Aptos"/>
                <w:b w:val="0"/>
                <w:color w:val="000000"/>
                <w:sz w:val="17"/>
              </w:rPr>
              <w:t>2.2.6</w:t>
            </w:r>
          </w:p>
        </w:tc>
      </w:tr>
      <w:tr>
        <w:tc>
          <w:tcPr>
            <w:tcW w:type="dxa" w:w="288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7"/>
              </w:rPr>
              <w:t>scikit-learn</w:t>
            </w:r>
          </w:p>
        </w:tc>
        <w:tc>
          <w:tcPr>
            <w:tcW w:type="dxa" w:w="720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7"/>
              </w:rPr>
              <w:t>1.7.2</w:t>
            </w:r>
          </w:p>
        </w:tc>
      </w:tr>
      <w:tr>
        <w:tc>
          <w:tcPr>
            <w:tcW w:type="dxa" w:w="2880"/>
            <w:vAlign w:val="center"/>
            <w:tcMar>
              <w:top w:w="90" w:type="dxa"/>
              <w:start w:w="95" w:type="dxa"/>
              <w:bottom w:w="90" w:type="dxa"/>
              <w:end w:w="95" w:type="dxa"/>
            </w:tcMar>
          </w:tcPr>
          <w:p>
            <w:pPr>
              <w:spacing w:after="0" w:line="240" w:lineRule="auto"/>
              <w:jc w:val="center"/>
            </w:pPr>
            <w:r/>
            <w:r>
              <w:rPr>
                <w:rFonts w:ascii="Aptos" w:hAnsi="Aptos"/>
                <w:b w:val="0"/>
                <w:color w:val="000000"/>
                <w:sz w:val="17"/>
              </w:rPr>
              <w:t>PyTorch</w:t>
            </w:r>
          </w:p>
        </w:tc>
        <w:tc>
          <w:tcPr>
            <w:tcW w:type="dxa" w:w="7200"/>
            <w:vAlign w:val="center"/>
            <w:tcMar>
              <w:top w:w="90" w:type="dxa"/>
              <w:start w:w="95" w:type="dxa"/>
              <w:bottom w:w="90" w:type="dxa"/>
              <w:end w:w="95" w:type="dxa"/>
            </w:tcMar>
          </w:tcPr>
          <w:p>
            <w:pPr>
              <w:spacing w:after="0" w:line="240" w:lineRule="auto"/>
              <w:jc w:val="center"/>
            </w:pPr>
            <w:r/>
            <w:r>
              <w:rPr>
                <w:rFonts w:ascii="Aptos" w:hAnsi="Aptos"/>
                <w:b w:val="0"/>
                <w:color w:val="000000"/>
                <w:sz w:val="17"/>
              </w:rPr>
              <w:t>2.14.0+cpu</w:t>
            </w:r>
          </w:p>
        </w:tc>
      </w:tr>
      <w:tr>
        <w:tc>
          <w:tcPr>
            <w:tcW w:type="dxa" w:w="288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7"/>
              </w:rPr>
              <w:t>joblib</w:t>
            </w:r>
          </w:p>
        </w:tc>
        <w:tc>
          <w:tcPr>
            <w:tcW w:type="dxa" w:w="720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7"/>
              </w:rPr>
              <w:t>1.6.0</w:t>
            </w:r>
          </w:p>
        </w:tc>
      </w:tr>
      <w:tr>
        <w:tc>
          <w:tcPr>
            <w:tcW w:type="dxa" w:w="2880"/>
            <w:vAlign w:val="center"/>
            <w:tcMar>
              <w:top w:w="90" w:type="dxa"/>
              <w:start w:w="95" w:type="dxa"/>
              <w:bottom w:w="90" w:type="dxa"/>
              <w:end w:w="95" w:type="dxa"/>
            </w:tcMar>
          </w:tcPr>
          <w:p>
            <w:pPr>
              <w:spacing w:after="0" w:line="240" w:lineRule="auto"/>
              <w:jc w:val="center"/>
            </w:pPr>
            <w:r/>
            <w:r>
              <w:rPr>
                <w:rFonts w:ascii="Aptos" w:hAnsi="Aptos"/>
                <w:b w:val="0"/>
                <w:color w:val="000000"/>
                <w:sz w:val="17"/>
              </w:rPr>
              <w:t>pytest</w:t>
            </w:r>
          </w:p>
        </w:tc>
        <w:tc>
          <w:tcPr>
            <w:tcW w:type="dxa" w:w="7200"/>
            <w:vAlign w:val="center"/>
            <w:tcMar>
              <w:top w:w="90" w:type="dxa"/>
              <w:start w:w="95" w:type="dxa"/>
              <w:bottom w:w="90" w:type="dxa"/>
              <w:end w:w="95" w:type="dxa"/>
            </w:tcMar>
          </w:tcPr>
          <w:p>
            <w:pPr>
              <w:spacing w:after="0" w:line="240" w:lineRule="auto"/>
              <w:jc w:val="center"/>
            </w:pPr>
            <w:r/>
            <w:r>
              <w:rPr>
                <w:rFonts w:ascii="Aptos" w:hAnsi="Aptos"/>
                <w:b w:val="0"/>
                <w:color w:val="000000"/>
                <w:sz w:val="17"/>
              </w:rPr>
              <w:t>9.1.1</w:t>
            </w:r>
          </w:p>
        </w:tc>
      </w:tr>
    </w:tbl>
    <w:p>
      <w:pPr>
        <w:spacing w:after="40"/>
      </w:pPr>
    </w:p>
    <w:p>
      <w:r>
        <w:t>Project structure: scripts/ contains pipeline stages and shared model code; data/ contains deterministic flow telemetry; models/ contains loadable checkpoints and preprocessing metadata; outputs/ contains evaluation and alert evidence; tests/ contains automated checks; and submission/ contains the final report and defense materials.</w:t>
      </w:r>
    </w:p>
    <w:p>
      <w:pPr>
        <w:pStyle w:val="Heading1"/>
        <w:keepNext/>
      </w:pPr>
      <w:r>
        <w:t>3 Dataset and Telemetry</w:t>
      </w:r>
    </w:p>
    <w:p>
      <w:r>
        <w:t>The generator produced 12,000 rows with 22 columns and no missing values. Class counts were Benign 7,401, PortScan 1,189, DDoS 992, BruteForce 932, Exfiltration 772, and C2Beacon 714. Timestamps begin at 2026-01-01 and the seed is fixed at 42, so reruns produce the same records.</w:t>
      </w:r>
    </w:p>
    <w:p>
      <w:r>
        <w:t>The schema approximates enriched Zeek or Suricata flow context but does not ingest live sensors. It contains source and destination addressing, ports, protocol, duration, packet and byte volumes, derived rates, five-minute scan and authentication counters, DNS entropy, beacon and burst indicators, Suricata alert counts, TCP state, asset criticality, and a synthetic label.</w:t>
      </w:r>
    </w:p>
    <w:p>
      <w:r>
        <w:t>Ethics and privacy: the dataset is synthetic, avoids collection of personal or unauthorized traffic, and uses private or documentation-range addresses. That reduces privacy risk but also reduces external validity. Real telemetry must be collected under authorization, minimized, access-controlled, and retained according to policy.</w:t>
      </w:r>
    </w:p>
    <w:p>
      <w:r>
        <w:br w:type="page"/>
      </w:r>
    </w:p>
    <w:p>
      <w:pPr>
        <w:pStyle w:val="Heading1"/>
        <w:keepNext/>
      </w:pPr>
      <w:r>
        <w:t>4 Feature Engineering</w:t>
      </w:r>
    </w:p>
    <w:p>
      <w:r>
        <w:t>Fourteen numeric features feed all three neural model paths. Inputs with missing or non-finite required features are rejected before splitting. The split occurs before preprocessing and the scaler is fitted on training rows only, preventing test statistics from leaking into model training.</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944"/>
            <w:shd w:fill="17365D"/>
            <w:vAlign w:val="center"/>
            <w:tcMar>
              <w:top w:w="90" w:type="dxa"/>
              <w:start w:w="95" w:type="dxa"/>
              <w:bottom w:w="90" w:type="dxa"/>
              <w:end w:w="95" w:type="dxa"/>
            </w:tcMar>
          </w:tcPr>
          <w:p>
            <w:pPr>
              <w:spacing w:after="0" w:line="240" w:lineRule="auto"/>
              <w:jc w:val="left"/>
            </w:pPr>
            <w:r/>
            <w:r>
              <w:rPr>
                <w:rFonts w:ascii="Aptos" w:hAnsi="Aptos"/>
                <w:b/>
                <w:color w:val="FFFFFF"/>
                <w:sz w:val="16"/>
              </w:rPr>
              <w:t>Feature group</w:t>
            </w:r>
          </w:p>
        </w:tc>
        <w:tc>
          <w:tcPr>
            <w:tcW w:type="dxa" w:w="4032"/>
            <w:shd w:fill="17365D"/>
            <w:vAlign w:val="center"/>
            <w:tcMar>
              <w:top w:w="90" w:type="dxa"/>
              <w:start w:w="95" w:type="dxa"/>
              <w:bottom w:w="90" w:type="dxa"/>
              <w:end w:w="95" w:type="dxa"/>
            </w:tcMar>
          </w:tcPr>
          <w:p>
            <w:pPr>
              <w:spacing w:after="0" w:line="240" w:lineRule="auto"/>
              <w:jc w:val="left"/>
            </w:pPr>
            <w:r/>
            <w:r>
              <w:rPr>
                <w:rFonts w:ascii="Aptos" w:hAnsi="Aptos"/>
                <w:b/>
                <w:color w:val="FFFFFF"/>
                <w:sz w:val="16"/>
              </w:rPr>
              <w:t>Fields</w:t>
            </w:r>
          </w:p>
        </w:tc>
        <w:tc>
          <w:tcPr>
            <w:tcW w:type="dxa" w:w="4104"/>
            <w:shd w:fill="17365D"/>
            <w:vAlign w:val="center"/>
            <w:tcMar>
              <w:top w:w="90" w:type="dxa"/>
              <w:start w:w="95" w:type="dxa"/>
              <w:bottom w:w="90" w:type="dxa"/>
              <w:end w:w="95" w:type="dxa"/>
            </w:tcMar>
          </w:tcPr>
          <w:p>
            <w:pPr>
              <w:spacing w:after="0" w:line="240" w:lineRule="auto"/>
              <w:jc w:val="left"/>
            </w:pPr>
            <w:r/>
            <w:r>
              <w:rPr>
                <w:rFonts w:ascii="Aptos" w:hAnsi="Aptos"/>
                <w:b/>
                <w:color w:val="FFFFFF"/>
                <w:sz w:val="16"/>
              </w:rPr>
              <w:t>Defensive relevance</w:t>
            </w:r>
          </w:p>
        </w:tc>
      </w:tr>
      <w:tr>
        <w:tc>
          <w:tcPr>
            <w:tcW w:type="dxa" w:w="1944"/>
            <w:vAlign w:val="center"/>
            <w:tcMar>
              <w:top w:w="90" w:type="dxa"/>
              <w:start w:w="95" w:type="dxa"/>
              <w:bottom w:w="90" w:type="dxa"/>
              <w:end w:w="95" w:type="dxa"/>
            </w:tcMar>
          </w:tcPr>
          <w:p>
            <w:pPr>
              <w:spacing w:after="0" w:line="240" w:lineRule="auto"/>
              <w:jc w:val="left"/>
            </w:pPr>
            <w:r/>
            <w:r>
              <w:rPr>
                <w:rFonts w:ascii="Aptos" w:hAnsi="Aptos"/>
                <w:b w:val="0"/>
                <w:color w:val="000000"/>
                <w:sz w:val="16"/>
              </w:rPr>
              <w:t>Volume and duration</w:t>
            </w:r>
          </w:p>
        </w:tc>
        <w:tc>
          <w:tcPr>
            <w:tcW w:type="dxa" w:w="4032"/>
            <w:vAlign w:val="center"/>
            <w:tcMar>
              <w:top w:w="90" w:type="dxa"/>
              <w:start w:w="95" w:type="dxa"/>
              <w:bottom w:w="90" w:type="dxa"/>
              <w:end w:w="95" w:type="dxa"/>
            </w:tcMar>
          </w:tcPr>
          <w:p>
            <w:pPr>
              <w:spacing w:after="0" w:line="240" w:lineRule="auto"/>
              <w:jc w:val="left"/>
            </w:pPr>
            <w:r/>
            <w:r>
              <w:rPr>
                <w:rFonts w:ascii="Aptos" w:hAnsi="Aptos"/>
                <w:b w:val="0"/>
                <w:color w:val="000000"/>
                <w:sz w:val="16"/>
              </w:rPr>
              <w:t>duration, packets, bytes_out, bytes_in</w:t>
            </w:r>
          </w:p>
        </w:tc>
        <w:tc>
          <w:tcPr>
            <w:tcW w:type="dxa" w:w="4104"/>
            <w:vAlign w:val="center"/>
            <w:tcMar>
              <w:top w:w="90" w:type="dxa"/>
              <w:start w:w="95" w:type="dxa"/>
              <w:bottom w:w="90" w:type="dxa"/>
              <w:end w:w="95" w:type="dxa"/>
            </w:tcMar>
          </w:tcPr>
          <w:p>
            <w:pPr>
              <w:spacing w:after="0" w:line="240" w:lineRule="auto"/>
              <w:jc w:val="left"/>
            </w:pPr>
            <w:r/>
            <w:r>
              <w:rPr>
                <w:rFonts w:ascii="Aptos" w:hAnsi="Aptos"/>
                <w:b w:val="0"/>
                <w:color w:val="000000"/>
                <w:sz w:val="16"/>
              </w:rPr>
              <w:t>Capture transfer size and connection persistence</w:t>
            </w:r>
          </w:p>
        </w:tc>
      </w:tr>
      <w:tr>
        <w:tc>
          <w:tcPr>
            <w:tcW w:type="dxa" w:w="1944"/>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6"/>
              </w:rPr>
              <w:t>Rates and direction</w:t>
            </w:r>
          </w:p>
        </w:tc>
        <w:tc>
          <w:tcPr>
            <w:tcW w:type="dxa" w:w="4032"/>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6"/>
              </w:rPr>
              <w:t>bytes_per_sec, packets_per_sec, outbound_ratio</w:t>
            </w:r>
          </w:p>
        </w:tc>
        <w:tc>
          <w:tcPr>
            <w:tcW w:type="dxa" w:w="4104"/>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6"/>
              </w:rPr>
              <w:t>Separate bursts, floods, and outbound-heavy transfer</w:t>
            </w:r>
          </w:p>
        </w:tc>
      </w:tr>
      <w:tr>
        <w:tc>
          <w:tcPr>
            <w:tcW w:type="dxa" w:w="1944"/>
            <w:vAlign w:val="center"/>
            <w:tcMar>
              <w:top w:w="90" w:type="dxa"/>
              <w:start w:w="95" w:type="dxa"/>
              <w:bottom w:w="90" w:type="dxa"/>
              <w:end w:w="95" w:type="dxa"/>
            </w:tcMar>
          </w:tcPr>
          <w:p>
            <w:pPr>
              <w:spacing w:after="0" w:line="240" w:lineRule="auto"/>
              <w:jc w:val="center"/>
            </w:pPr>
            <w:r/>
            <w:r>
              <w:rPr>
                <w:rFonts w:ascii="Aptos" w:hAnsi="Aptos"/>
                <w:b w:val="0"/>
                <w:color w:val="000000"/>
                <w:sz w:val="16"/>
              </w:rPr>
              <w:t>Local behavior</w:t>
            </w:r>
          </w:p>
        </w:tc>
        <w:tc>
          <w:tcPr>
            <w:tcW w:type="dxa" w:w="4032"/>
            <w:vAlign w:val="center"/>
            <w:tcMar>
              <w:top w:w="90" w:type="dxa"/>
              <w:start w:w="95" w:type="dxa"/>
              <w:bottom w:w="90" w:type="dxa"/>
              <w:end w:w="95" w:type="dxa"/>
            </w:tcMar>
          </w:tcPr>
          <w:p>
            <w:pPr>
              <w:spacing w:after="0" w:line="240" w:lineRule="auto"/>
              <w:jc w:val="left"/>
            </w:pPr>
            <w:r/>
            <w:r>
              <w:rPr>
                <w:rFonts w:ascii="Aptos" w:hAnsi="Aptos"/>
                <w:b w:val="0"/>
                <w:color w:val="000000"/>
                <w:sz w:val="16"/>
              </w:rPr>
              <w:t>unique_dst_ports_5m, failed_conn_5m</w:t>
            </w:r>
          </w:p>
        </w:tc>
        <w:tc>
          <w:tcPr>
            <w:tcW w:type="dxa" w:w="4104"/>
            <w:vAlign w:val="center"/>
            <w:tcMar>
              <w:top w:w="90" w:type="dxa"/>
              <w:start w:w="95" w:type="dxa"/>
              <w:bottom w:w="90" w:type="dxa"/>
              <w:end w:w="95" w:type="dxa"/>
            </w:tcMar>
          </w:tcPr>
          <w:p>
            <w:pPr>
              <w:spacing w:after="0" w:line="240" w:lineRule="auto"/>
              <w:jc w:val="left"/>
            </w:pPr>
            <w:r/>
            <w:r>
              <w:rPr>
                <w:rFonts w:ascii="Aptos" w:hAnsi="Aptos"/>
                <w:b w:val="0"/>
                <w:color w:val="000000"/>
                <w:sz w:val="16"/>
              </w:rPr>
              <w:t>Expose scan and repeated-authentication patterns</w:t>
            </w:r>
          </w:p>
        </w:tc>
      </w:tr>
      <w:tr>
        <w:tc>
          <w:tcPr>
            <w:tcW w:type="dxa" w:w="1944"/>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6"/>
              </w:rPr>
              <w:t>Application indicators</w:t>
            </w:r>
          </w:p>
        </w:tc>
        <w:tc>
          <w:tcPr>
            <w:tcW w:type="dxa" w:w="4032"/>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6"/>
              </w:rPr>
              <w:t>dns_entropy, beacon_score, burst_score</w:t>
            </w:r>
          </w:p>
        </w:tc>
        <w:tc>
          <w:tcPr>
            <w:tcW w:type="dxa" w:w="4104"/>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6"/>
              </w:rPr>
              <w:t>Represent tunneling, periodicity, and burst behavior</w:t>
            </w:r>
          </w:p>
        </w:tc>
      </w:tr>
      <w:tr>
        <w:tc>
          <w:tcPr>
            <w:tcW w:type="dxa" w:w="1944"/>
            <w:vAlign w:val="center"/>
            <w:tcMar>
              <w:top w:w="90" w:type="dxa"/>
              <w:start w:w="95" w:type="dxa"/>
              <w:bottom w:w="90" w:type="dxa"/>
              <w:end w:w="95" w:type="dxa"/>
            </w:tcMar>
          </w:tcPr>
          <w:p>
            <w:pPr>
              <w:spacing w:after="0" w:line="240" w:lineRule="auto"/>
              <w:jc w:val="center"/>
            </w:pPr>
            <w:r/>
            <w:r>
              <w:rPr>
                <w:rFonts w:ascii="Aptos" w:hAnsi="Aptos"/>
                <w:b w:val="0"/>
                <w:color w:val="000000"/>
                <w:sz w:val="16"/>
              </w:rPr>
              <w:t>Context</w:t>
            </w:r>
          </w:p>
        </w:tc>
        <w:tc>
          <w:tcPr>
            <w:tcW w:type="dxa" w:w="4032"/>
            <w:vAlign w:val="center"/>
            <w:tcMar>
              <w:top w:w="90" w:type="dxa"/>
              <w:start w:w="95" w:type="dxa"/>
              <w:bottom w:w="90" w:type="dxa"/>
              <w:end w:w="95" w:type="dxa"/>
            </w:tcMar>
          </w:tcPr>
          <w:p>
            <w:pPr>
              <w:spacing w:after="0" w:line="240" w:lineRule="auto"/>
              <w:jc w:val="left"/>
            </w:pPr>
            <w:r/>
            <w:r>
              <w:rPr>
                <w:rFonts w:ascii="Aptos" w:hAnsi="Aptos"/>
                <w:b w:val="0"/>
                <w:color w:val="000000"/>
                <w:sz w:val="16"/>
              </w:rPr>
              <w:t>suricata_alert_count, asset_criticality</w:t>
            </w:r>
          </w:p>
        </w:tc>
        <w:tc>
          <w:tcPr>
            <w:tcW w:type="dxa" w:w="4104"/>
            <w:vAlign w:val="center"/>
            <w:tcMar>
              <w:top w:w="90" w:type="dxa"/>
              <w:start w:w="95" w:type="dxa"/>
              <w:bottom w:w="90" w:type="dxa"/>
              <w:end w:w="95" w:type="dxa"/>
            </w:tcMar>
          </w:tcPr>
          <w:p>
            <w:pPr>
              <w:spacing w:after="0" w:line="240" w:lineRule="auto"/>
              <w:jc w:val="left"/>
            </w:pPr>
            <w:r/>
            <w:r>
              <w:rPr>
                <w:rFonts w:ascii="Aptos" w:hAnsi="Aptos"/>
                <w:b w:val="0"/>
                <w:color w:val="000000"/>
                <w:sz w:val="16"/>
              </w:rPr>
              <w:t>Add sensor corroboration and business impact</w:t>
            </w:r>
          </w:p>
        </w:tc>
      </w:tr>
    </w:tbl>
    <w:p>
      <w:pPr>
        <w:spacing w:after="40"/>
      </w:pPr>
    </w:p>
    <w:p>
      <w:pPr>
        <w:pStyle w:val="Heading1"/>
        <w:keepNext/>
      </w:pPr>
      <w:r>
        <w:t>5 Supervised Model</w:t>
      </w:r>
    </w:p>
    <w:p>
      <w:r>
        <w:t>The supervised classifier is a residual MLP with 14 inputs, a hidden width of 96, batch normalization, ReLU activations, dropout 0.15, two residual blocks, and six output logits. Training used eight epochs, batches of 256, seed 42, 9,000 training rows, and a stratified 3,000-row test partition.</w:t>
      </w:r>
    </w:p>
    <w:p>
      <w:r>
        <w:t>Held-out performance was macro F1 0.9987, weighted F1 0.9993, and accuracy 0.9993. False-positive analysis: the confusion matrix contained only two errors, both PortScan flows predicted as BruteForce; this created two BruteForce false-positive predictions and no false-positive predictions for the other attack classes. The high score reflects deliberately distinct synthetic class distributions and must not be interpreted as production performance.</w:t>
      </w:r>
    </w:p>
    <w:p>
      <w:r>
        <w:t>Confusion matrix rows are actual classes and columns are predicted classes.</w:t>
      </w:r>
    </w:p>
    <w:tbl>
      <w:tblPr>
        <w:tblStyle w:val="TableGrid"/>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40"/>
            <w:shd w:fill="17365D"/>
            <w:vAlign w:val="center"/>
            <w:tcMar>
              <w:top w:w="90" w:type="dxa"/>
              <w:start w:w="95" w:type="dxa"/>
              <w:bottom w:w="90" w:type="dxa"/>
              <w:end w:w="95" w:type="dxa"/>
            </w:tcMar>
          </w:tcPr>
          <w:p>
            <w:pPr>
              <w:spacing w:after="0" w:line="240" w:lineRule="auto"/>
              <w:jc w:val="left"/>
            </w:pPr>
            <w:r/>
            <w:r>
              <w:rPr>
                <w:rFonts w:ascii="Aptos" w:hAnsi="Aptos"/>
                <w:b/>
                <w:color w:val="FFFFFF"/>
                <w:sz w:val="15"/>
              </w:rPr>
              <w:t>Actual</w:t>
            </w:r>
          </w:p>
        </w:tc>
        <w:tc>
          <w:tcPr>
            <w:tcW w:type="dxa" w:w="1440"/>
            <w:shd w:fill="17365D"/>
            <w:vAlign w:val="center"/>
            <w:tcMar>
              <w:top w:w="90" w:type="dxa"/>
              <w:start w:w="95" w:type="dxa"/>
              <w:bottom w:w="90" w:type="dxa"/>
              <w:end w:w="95" w:type="dxa"/>
            </w:tcMar>
          </w:tcPr>
          <w:p>
            <w:pPr>
              <w:spacing w:after="0" w:line="240" w:lineRule="auto"/>
              <w:jc w:val="left"/>
            </w:pPr>
            <w:r/>
            <w:r>
              <w:rPr>
                <w:rFonts w:ascii="Aptos" w:hAnsi="Aptos"/>
                <w:b/>
                <w:color w:val="FFFFFF"/>
                <w:sz w:val="15"/>
              </w:rPr>
              <w:t>Benign</w:t>
            </w:r>
          </w:p>
        </w:tc>
        <w:tc>
          <w:tcPr>
            <w:tcW w:type="dxa" w:w="1440"/>
            <w:shd w:fill="17365D"/>
            <w:vAlign w:val="center"/>
            <w:tcMar>
              <w:top w:w="90" w:type="dxa"/>
              <w:start w:w="95" w:type="dxa"/>
              <w:bottom w:w="90" w:type="dxa"/>
              <w:end w:w="95" w:type="dxa"/>
            </w:tcMar>
          </w:tcPr>
          <w:p>
            <w:pPr>
              <w:spacing w:after="0" w:line="240" w:lineRule="auto"/>
              <w:jc w:val="left"/>
            </w:pPr>
            <w:r/>
            <w:r>
              <w:rPr>
                <w:rFonts w:ascii="Aptos" w:hAnsi="Aptos"/>
                <w:b/>
                <w:color w:val="FFFFFF"/>
                <w:sz w:val="15"/>
              </w:rPr>
              <w:t>Brute</w:t>
            </w:r>
          </w:p>
        </w:tc>
        <w:tc>
          <w:tcPr>
            <w:tcW w:type="dxa" w:w="1440"/>
            <w:shd w:fill="17365D"/>
            <w:vAlign w:val="center"/>
            <w:tcMar>
              <w:top w:w="90" w:type="dxa"/>
              <w:start w:w="95" w:type="dxa"/>
              <w:bottom w:w="90" w:type="dxa"/>
              <w:end w:w="95" w:type="dxa"/>
            </w:tcMar>
          </w:tcPr>
          <w:p>
            <w:pPr>
              <w:spacing w:after="0" w:line="240" w:lineRule="auto"/>
              <w:jc w:val="left"/>
            </w:pPr>
            <w:r/>
            <w:r>
              <w:rPr>
                <w:rFonts w:ascii="Aptos" w:hAnsi="Aptos"/>
                <w:b/>
                <w:color w:val="FFFFFF"/>
                <w:sz w:val="15"/>
              </w:rPr>
              <w:t>C2</w:t>
            </w:r>
          </w:p>
        </w:tc>
        <w:tc>
          <w:tcPr>
            <w:tcW w:type="dxa" w:w="1440"/>
            <w:shd w:fill="17365D"/>
            <w:vAlign w:val="center"/>
            <w:tcMar>
              <w:top w:w="90" w:type="dxa"/>
              <w:start w:w="95" w:type="dxa"/>
              <w:bottom w:w="90" w:type="dxa"/>
              <w:end w:w="95" w:type="dxa"/>
            </w:tcMar>
          </w:tcPr>
          <w:p>
            <w:pPr>
              <w:spacing w:after="0" w:line="240" w:lineRule="auto"/>
              <w:jc w:val="left"/>
            </w:pPr>
            <w:r/>
            <w:r>
              <w:rPr>
                <w:rFonts w:ascii="Aptos" w:hAnsi="Aptos"/>
                <w:b/>
                <w:color w:val="FFFFFF"/>
                <w:sz w:val="15"/>
              </w:rPr>
              <w:t>DDoS</w:t>
            </w:r>
          </w:p>
        </w:tc>
        <w:tc>
          <w:tcPr>
            <w:tcW w:type="dxa" w:w="1440"/>
            <w:shd w:fill="17365D"/>
            <w:vAlign w:val="center"/>
            <w:tcMar>
              <w:top w:w="90" w:type="dxa"/>
              <w:start w:w="95" w:type="dxa"/>
              <w:bottom w:w="90" w:type="dxa"/>
              <w:end w:w="95" w:type="dxa"/>
            </w:tcMar>
          </w:tcPr>
          <w:p>
            <w:pPr>
              <w:spacing w:after="0" w:line="240" w:lineRule="auto"/>
              <w:jc w:val="left"/>
            </w:pPr>
            <w:r/>
            <w:r>
              <w:rPr>
                <w:rFonts w:ascii="Aptos" w:hAnsi="Aptos"/>
                <w:b/>
                <w:color w:val="FFFFFF"/>
                <w:sz w:val="15"/>
              </w:rPr>
              <w:t>Exfil</w:t>
            </w:r>
          </w:p>
        </w:tc>
        <w:tc>
          <w:tcPr>
            <w:tcW w:type="dxa" w:w="1440"/>
            <w:shd w:fill="17365D"/>
            <w:vAlign w:val="center"/>
            <w:tcMar>
              <w:top w:w="90" w:type="dxa"/>
              <w:start w:w="95" w:type="dxa"/>
              <w:bottom w:w="90" w:type="dxa"/>
              <w:end w:w="95" w:type="dxa"/>
            </w:tcMar>
          </w:tcPr>
          <w:p>
            <w:pPr>
              <w:spacing w:after="0" w:line="240" w:lineRule="auto"/>
              <w:jc w:val="left"/>
            </w:pPr>
            <w:r/>
            <w:r>
              <w:rPr>
                <w:rFonts w:ascii="Aptos" w:hAnsi="Aptos"/>
                <w:b/>
                <w:color w:val="FFFFFF"/>
                <w:sz w:val="15"/>
              </w:rPr>
              <w:t>Scan</w:t>
            </w:r>
          </w:p>
        </w:tc>
      </w:tr>
      <w:tr>
        <w:tc>
          <w:tcPr>
            <w:tcW w:type="dxa" w:w="1440"/>
            <w:vAlign w:val="center"/>
            <w:tcMar>
              <w:top w:w="90" w:type="dxa"/>
              <w:start w:w="95" w:type="dxa"/>
              <w:bottom w:w="90" w:type="dxa"/>
              <w:end w:w="95" w:type="dxa"/>
            </w:tcMar>
          </w:tcPr>
          <w:p>
            <w:pPr>
              <w:spacing w:after="0" w:line="240" w:lineRule="auto"/>
              <w:jc w:val="center"/>
            </w:pPr>
            <w:r/>
            <w:r>
              <w:rPr>
                <w:rFonts w:ascii="Aptos" w:hAnsi="Aptos"/>
                <w:b w:val="0"/>
                <w:color w:val="000000"/>
                <w:sz w:val="15"/>
              </w:rPr>
              <w:t>Benign</w:t>
            </w:r>
          </w:p>
        </w:tc>
        <w:tc>
          <w:tcPr>
            <w:tcW w:type="dxa" w:w="1440"/>
            <w:vAlign w:val="center"/>
            <w:tcMar>
              <w:top w:w="90" w:type="dxa"/>
              <w:start w:w="95" w:type="dxa"/>
              <w:bottom w:w="90" w:type="dxa"/>
              <w:end w:w="95" w:type="dxa"/>
            </w:tcMar>
          </w:tcPr>
          <w:p>
            <w:pPr>
              <w:spacing w:after="0" w:line="240" w:lineRule="auto"/>
              <w:jc w:val="center"/>
            </w:pPr>
            <w:r/>
            <w:r>
              <w:rPr>
                <w:rFonts w:ascii="Aptos" w:hAnsi="Aptos"/>
                <w:b w:val="0"/>
                <w:color w:val="000000"/>
                <w:sz w:val="15"/>
              </w:rPr>
              <w:t>1850</w:t>
            </w:r>
          </w:p>
        </w:tc>
        <w:tc>
          <w:tcPr>
            <w:tcW w:type="dxa" w:w="1440"/>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c>
          <w:tcPr>
            <w:tcW w:type="dxa" w:w="1440"/>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c>
          <w:tcPr>
            <w:tcW w:type="dxa" w:w="1440"/>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c>
          <w:tcPr>
            <w:tcW w:type="dxa" w:w="1440"/>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c>
          <w:tcPr>
            <w:tcW w:type="dxa" w:w="1440"/>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r>
      <w:tr>
        <w:tc>
          <w:tcPr>
            <w:tcW w:type="dxa" w:w="144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5"/>
              </w:rPr>
              <w:t>Brute</w:t>
            </w:r>
          </w:p>
        </w:tc>
        <w:tc>
          <w:tcPr>
            <w:tcW w:type="dxa" w:w="144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c>
          <w:tcPr>
            <w:tcW w:type="dxa" w:w="144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5"/>
              </w:rPr>
              <w:t>233</w:t>
            </w:r>
          </w:p>
        </w:tc>
        <w:tc>
          <w:tcPr>
            <w:tcW w:type="dxa" w:w="144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c>
          <w:tcPr>
            <w:tcW w:type="dxa" w:w="144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c>
          <w:tcPr>
            <w:tcW w:type="dxa" w:w="144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c>
          <w:tcPr>
            <w:tcW w:type="dxa" w:w="144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r>
      <w:tr>
        <w:tc>
          <w:tcPr>
            <w:tcW w:type="dxa" w:w="1440"/>
            <w:vAlign w:val="center"/>
            <w:tcMar>
              <w:top w:w="90" w:type="dxa"/>
              <w:start w:w="95" w:type="dxa"/>
              <w:bottom w:w="90" w:type="dxa"/>
              <w:end w:w="95" w:type="dxa"/>
            </w:tcMar>
          </w:tcPr>
          <w:p>
            <w:pPr>
              <w:spacing w:after="0" w:line="240" w:lineRule="auto"/>
              <w:jc w:val="center"/>
            </w:pPr>
            <w:r/>
            <w:r>
              <w:rPr>
                <w:rFonts w:ascii="Aptos" w:hAnsi="Aptos"/>
                <w:b w:val="0"/>
                <w:color w:val="000000"/>
                <w:sz w:val="15"/>
              </w:rPr>
              <w:t>C2</w:t>
            </w:r>
          </w:p>
        </w:tc>
        <w:tc>
          <w:tcPr>
            <w:tcW w:type="dxa" w:w="1440"/>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c>
          <w:tcPr>
            <w:tcW w:type="dxa" w:w="1440"/>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c>
          <w:tcPr>
            <w:tcW w:type="dxa" w:w="1440"/>
            <w:vAlign w:val="center"/>
            <w:tcMar>
              <w:top w:w="90" w:type="dxa"/>
              <w:start w:w="95" w:type="dxa"/>
              <w:bottom w:w="90" w:type="dxa"/>
              <w:end w:w="95" w:type="dxa"/>
            </w:tcMar>
          </w:tcPr>
          <w:p>
            <w:pPr>
              <w:spacing w:after="0" w:line="240" w:lineRule="auto"/>
              <w:jc w:val="center"/>
            </w:pPr>
            <w:r/>
            <w:r>
              <w:rPr>
                <w:rFonts w:ascii="Aptos" w:hAnsi="Aptos"/>
                <w:b w:val="0"/>
                <w:color w:val="000000"/>
                <w:sz w:val="15"/>
              </w:rPr>
              <w:t>179</w:t>
            </w:r>
          </w:p>
        </w:tc>
        <w:tc>
          <w:tcPr>
            <w:tcW w:type="dxa" w:w="1440"/>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c>
          <w:tcPr>
            <w:tcW w:type="dxa" w:w="1440"/>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c>
          <w:tcPr>
            <w:tcW w:type="dxa" w:w="1440"/>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r>
      <w:tr>
        <w:tc>
          <w:tcPr>
            <w:tcW w:type="dxa" w:w="144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5"/>
              </w:rPr>
              <w:t>DDoS</w:t>
            </w:r>
          </w:p>
        </w:tc>
        <w:tc>
          <w:tcPr>
            <w:tcW w:type="dxa" w:w="144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c>
          <w:tcPr>
            <w:tcW w:type="dxa" w:w="144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c>
          <w:tcPr>
            <w:tcW w:type="dxa" w:w="144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c>
          <w:tcPr>
            <w:tcW w:type="dxa" w:w="144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5"/>
              </w:rPr>
              <w:t>248</w:t>
            </w:r>
          </w:p>
        </w:tc>
        <w:tc>
          <w:tcPr>
            <w:tcW w:type="dxa" w:w="144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c>
          <w:tcPr>
            <w:tcW w:type="dxa" w:w="144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r>
      <w:tr>
        <w:tc>
          <w:tcPr>
            <w:tcW w:type="dxa" w:w="1440"/>
            <w:vAlign w:val="center"/>
            <w:tcMar>
              <w:top w:w="90" w:type="dxa"/>
              <w:start w:w="95" w:type="dxa"/>
              <w:bottom w:w="90" w:type="dxa"/>
              <w:end w:w="95" w:type="dxa"/>
            </w:tcMar>
          </w:tcPr>
          <w:p>
            <w:pPr>
              <w:spacing w:after="0" w:line="240" w:lineRule="auto"/>
              <w:jc w:val="center"/>
            </w:pPr>
            <w:r/>
            <w:r>
              <w:rPr>
                <w:rFonts w:ascii="Aptos" w:hAnsi="Aptos"/>
                <w:b w:val="0"/>
                <w:color w:val="000000"/>
                <w:sz w:val="15"/>
              </w:rPr>
              <w:t>Exfil</w:t>
            </w:r>
          </w:p>
        </w:tc>
        <w:tc>
          <w:tcPr>
            <w:tcW w:type="dxa" w:w="1440"/>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c>
          <w:tcPr>
            <w:tcW w:type="dxa" w:w="1440"/>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c>
          <w:tcPr>
            <w:tcW w:type="dxa" w:w="1440"/>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c>
          <w:tcPr>
            <w:tcW w:type="dxa" w:w="1440"/>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c>
          <w:tcPr>
            <w:tcW w:type="dxa" w:w="1440"/>
            <w:vAlign w:val="center"/>
            <w:tcMar>
              <w:top w:w="90" w:type="dxa"/>
              <w:start w:w="95" w:type="dxa"/>
              <w:bottom w:w="90" w:type="dxa"/>
              <w:end w:w="95" w:type="dxa"/>
            </w:tcMar>
          </w:tcPr>
          <w:p>
            <w:pPr>
              <w:spacing w:after="0" w:line="240" w:lineRule="auto"/>
              <w:jc w:val="center"/>
            </w:pPr>
            <w:r/>
            <w:r>
              <w:rPr>
                <w:rFonts w:ascii="Aptos" w:hAnsi="Aptos"/>
                <w:b w:val="0"/>
                <w:color w:val="000000"/>
                <w:sz w:val="15"/>
              </w:rPr>
              <w:t>193</w:t>
            </w:r>
          </w:p>
        </w:tc>
        <w:tc>
          <w:tcPr>
            <w:tcW w:type="dxa" w:w="1440"/>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r>
      <w:tr>
        <w:tc>
          <w:tcPr>
            <w:tcW w:type="dxa" w:w="144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5"/>
              </w:rPr>
              <w:t>Scan</w:t>
            </w:r>
          </w:p>
        </w:tc>
        <w:tc>
          <w:tcPr>
            <w:tcW w:type="dxa" w:w="144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c>
          <w:tcPr>
            <w:tcW w:type="dxa" w:w="144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5"/>
              </w:rPr>
              <w:t>2</w:t>
            </w:r>
          </w:p>
        </w:tc>
        <w:tc>
          <w:tcPr>
            <w:tcW w:type="dxa" w:w="144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c>
          <w:tcPr>
            <w:tcW w:type="dxa" w:w="144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c>
          <w:tcPr>
            <w:tcW w:type="dxa" w:w="144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5"/>
              </w:rPr>
              <w:t>0</w:t>
            </w:r>
          </w:p>
        </w:tc>
        <w:tc>
          <w:tcPr>
            <w:tcW w:type="dxa" w:w="144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5"/>
              </w:rPr>
              <w:t>295</w:t>
            </w:r>
          </w:p>
        </w:tc>
      </w:tr>
    </w:tbl>
    <w:p>
      <w:pPr>
        <w:spacing w:after="40"/>
      </w:pPr>
    </w:p>
    <w:p>
      <w:r>
        <w:br w:type="page"/>
      </w:r>
    </w:p>
    <w:p>
      <w:pPr>
        <w:pStyle w:val="Heading1"/>
        <w:keepNext/>
      </w:pPr>
      <w:r>
        <w:t>6 Anomaly Model</w:t>
      </w:r>
    </w:p>
    <w:p>
      <w:r>
        <w:t>The autoencoder uses a 14-64-24-8 encoder and a symmetric 8-24-64-14 decoder. It was fitted on 4,440 benign training rows. The decision threshold, 0.05419, is the 95th percentile of reconstruction error from 1,111 held-out benign training-validation rows. The test set was not used to choose this threshold.</w:t>
      </w:r>
    </w:p>
    <w:p>
      <w:r>
        <w:t>On the 3,000-row test set, the autoencoder achieved macro F1 0.9595 and weighted F1 0.9613. The Isolation Forest achieved macro F1 0.7942 and weighted F1 0.8112. The autoencoder is the stronger anomaly model here; the Isolation Forest remains useful as a structurally different corroborating detector.</w:t>
      </w:r>
    </w:p>
    <w:p>
      <w:r>
        <w:t>False positives are expected when legitimate behavior differs from the benign training baseline. Thresholds must therefore be recalibrated per environment, and analysts should inspect raw sensor context before response.</w:t>
      </w:r>
    </w:p>
    <w:p>
      <w:pPr>
        <w:pStyle w:val="Heading1"/>
        <w:keepNext/>
      </w:pPr>
      <w:r>
        <w:t>7 Sequence Model</w:t>
      </w:r>
    </w:p>
    <w:p>
      <w:r>
        <w:t>The sequence model is a one-layer PyTorch GRU with input dimension 14 and hidden dimension 48. Each training example uses the preceding eight chronologically ordered flows to predict the next flow label. The chronological 75/25 split is applied before window construction, so no sequence crosses the train/test boundary.</w:t>
      </w:r>
    </w:p>
    <w:p>
      <w:r>
        <w:t>After six epochs, the GRU achieved macro F1 0.1223, weighted F1 0.1795, and accuracy 0.1494 across 2992 test sequences. This weak result is expected because labels in the synthetic generator are independently sampled rather than organized into sessions or campaigns. The model and checkpoint are real; the dataset does not provide enough valid temporal signal.</w:t>
      </w:r>
    </w:p>
    <w:p>
      <w:r>
        <w:t>The sequence component remains capped at 10 risk points and contributes in proportion to confidence. Future sequence evaluation should use campaign-aware data with beacon intervals, scan bursts, authentication attempts, and staged exfiltration.</w:t>
      </w:r>
    </w:p>
    <w:p>
      <w:r>
        <w:br w:type="page"/>
      </w:r>
    </w:p>
    <w:p>
      <w:pPr>
        <w:pStyle w:val="Heading1"/>
        <w:keepNext/>
      </w:pPr>
      <w:r>
        <w:t>8 Alert Fusion and ATT&amp;CK Mapping</w:t>
      </w:r>
    </w:p>
    <w:p>
      <w:r>
        <w:t>The streaming integration demonstration processed 1,000 flows and emitted 384 alerts at risk score 65 or higher. These rows overlap the model-development corpus, so the alert count demonstrates integration behavior rather than independent generalization. The 100-point formula is supervised 45, anomaly 20, sequence 10, telemetry 10, sensor 5, and asset criticality 10. The stored component values must sum to the displayed score; the validator checks this invariant.</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016"/>
            <w:shd w:fill="17365D"/>
            <w:vAlign w:val="center"/>
            <w:tcMar>
              <w:top w:w="90" w:type="dxa"/>
              <w:start w:w="95" w:type="dxa"/>
              <w:bottom w:w="90" w:type="dxa"/>
              <w:end w:w="95" w:type="dxa"/>
            </w:tcMar>
          </w:tcPr>
          <w:p>
            <w:pPr>
              <w:spacing w:after="0" w:line="240" w:lineRule="auto"/>
              <w:jc w:val="left"/>
            </w:pPr>
            <w:r/>
            <w:r>
              <w:rPr>
                <w:rFonts w:ascii="Aptos" w:hAnsi="Aptos"/>
                <w:b/>
                <w:color w:val="FFFFFF"/>
                <w:sz w:val="17"/>
              </w:rPr>
              <w:t>Evidence</w:t>
            </w:r>
          </w:p>
        </w:tc>
        <w:tc>
          <w:tcPr>
            <w:tcW w:type="dxa" w:w="1152"/>
            <w:shd w:fill="17365D"/>
            <w:vAlign w:val="center"/>
            <w:tcMar>
              <w:top w:w="90" w:type="dxa"/>
              <w:start w:w="95" w:type="dxa"/>
              <w:bottom w:w="90" w:type="dxa"/>
              <w:end w:w="95" w:type="dxa"/>
            </w:tcMar>
          </w:tcPr>
          <w:p>
            <w:pPr>
              <w:spacing w:after="0" w:line="240" w:lineRule="auto"/>
              <w:jc w:val="left"/>
            </w:pPr>
            <w:r/>
            <w:r>
              <w:rPr>
                <w:rFonts w:ascii="Aptos" w:hAnsi="Aptos"/>
                <w:b/>
                <w:color w:val="FFFFFF"/>
                <w:sz w:val="17"/>
              </w:rPr>
              <w:t>Maximum</w:t>
            </w:r>
          </w:p>
        </w:tc>
        <w:tc>
          <w:tcPr>
            <w:tcW w:type="dxa" w:w="6912"/>
            <w:shd w:fill="17365D"/>
            <w:vAlign w:val="center"/>
            <w:tcMar>
              <w:top w:w="90" w:type="dxa"/>
              <w:start w:w="95" w:type="dxa"/>
              <w:bottom w:w="90" w:type="dxa"/>
              <w:end w:w="95" w:type="dxa"/>
            </w:tcMar>
          </w:tcPr>
          <w:p>
            <w:pPr>
              <w:spacing w:after="0" w:line="240" w:lineRule="auto"/>
              <w:jc w:val="left"/>
            </w:pPr>
            <w:r/>
            <w:r>
              <w:rPr>
                <w:rFonts w:ascii="Aptos" w:hAnsi="Aptos"/>
                <w:b/>
                <w:color w:val="FFFFFF"/>
                <w:sz w:val="17"/>
              </w:rPr>
              <w:t>Purpose</w:t>
            </w:r>
          </w:p>
        </w:tc>
      </w:tr>
      <w:tr>
        <w:tc>
          <w:tcPr>
            <w:tcW w:type="dxa" w:w="2016"/>
            <w:vAlign w:val="center"/>
            <w:tcMar>
              <w:top w:w="90" w:type="dxa"/>
              <w:start w:w="95" w:type="dxa"/>
              <w:bottom w:w="90" w:type="dxa"/>
              <w:end w:w="95" w:type="dxa"/>
            </w:tcMar>
          </w:tcPr>
          <w:p>
            <w:pPr>
              <w:spacing w:after="0" w:line="240" w:lineRule="auto"/>
              <w:jc w:val="center"/>
            </w:pPr>
            <w:r/>
            <w:r>
              <w:rPr>
                <w:rFonts w:ascii="Aptos" w:hAnsi="Aptos"/>
                <w:b w:val="0"/>
                <w:color w:val="000000"/>
                <w:sz w:val="17"/>
              </w:rPr>
              <w:t>Supervised</w:t>
            </w:r>
          </w:p>
        </w:tc>
        <w:tc>
          <w:tcPr>
            <w:tcW w:type="dxa" w:w="1152"/>
            <w:vAlign w:val="center"/>
            <w:tcMar>
              <w:top w:w="90" w:type="dxa"/>
              <w:start w:w="95" w:type="dxa"/>
              <w:bottom w:w="90" w:type="dxa"/>
              <w:end w:w="95" w:type="dxa"/>
            </w:tcMar>
          </w:tcPr>
          <w:p>
            <w:pPr>
              <w:spacing w:after="0" w:line="240" w:lineRule="auto"/>
              <w:jc w:val="center"/>
            </w:pPr>
            <w:r/>
            <w:r>
              <w:rPr>
                <w:rFonts w:ascii="Aptos" w:hAnsi="Aptos"/>
                <w:b w:val="0"/>
                <w:color w:val="000000"/>
                <w:sz w:val="17"/>
              </w:rPr>
              <w:t>45</w:t>
            </w:r>
          </w:p>
        </w:tc>
        <w:tc>
          <w:tcPr>
            <w:tcW w:type="dxa" w:w="6912"/>
            <w:vAlign w:val="center"/>
            <w:tcMar>
              <w:top w:w="90" w:type="dxa"/>
              <w:start w:w="95" w:type="dxa"/>
              <w:bottom w:w="90" w:type="dxa"/>
              <w:end w:w="95" w:type="dxa"/>
            </w:tcMar>
          </w:tcPr>
          <w:p>
            <w:pPr>
              <w:spacing w:after="0" w:line="240" w:lineRule="auto"/>
              <w:jc w:val="left"/>
            </w:pPr>
            <w:r/>
            <w:r>
              <w:rPr>
                <w:rFonts w:ascii="Aptos" w:hAnsi="Aptos"/>
                <w:b w:val="0"/>
                <w:color w:val="000000"/>
                <w:sz w:val="17"/>
              </w:rPr>
              <w:t>Known-pattern classification probability</w:t>
            </w:r>
          </w:p>
        </w:tc>
      </w:tr>
      <w:tr>
        <w:tc>
          <w:tcPr>
            <w:tcW w:type="dxa" w:w="2016"/>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7"/>
              </w:rPr>
              <w:t>Anomaly</w:t>
            </w:r>
          </w:p>
        </w:tc>
        <w:tc>
          <w:tcPr>
            <w:tcW w:type="dxa" w:w="1152"/>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7"/>
              </w:rPr>
              <w:t>20</w:t>
            </w:r>
          </w:p>
        </w:tc>
        <w:tc>
          <w:tcPr>
            <w:tcW w:type="dxa" w:w="6912"/>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7"/>
              </w:rPr>
              <w:t>Autoencoder and Isolation Forest deviation evidence</w:t>
            </w:r>
          </w:p>
        </w:tc>
      </w:tr>
      <w:tr>
        <w:tc>
          <w:tcPr>
            <w:tcW w:type="dxa" w:w="2016"/>
            <w:vAlign w:val="center"/>
            <w:tcMar>
              <w:top w:w="90" w:type="dxa"/>
              <w:start w:w="95" w:type="dxa"/>
              <w:bottom w:w="90" w:type="dxa"/>
              <w:end w:w="95" w:type="dxa"/>
            </w:tcMar>
          </w:tcPr>
          <w:p>
            <w:pPr>
              <w:spacing w:after="0" w:line="240" w:lineRule="auto"/>
              <w:jc w:val="center"/>
            </w:pPr>
            <w:r/>
            <w:r>
              <w:rPr>
                <w:rFonts w:ascii="Aptos" w:hAnsi="Aptos"/>
                <w:b w:val="0"/>
                <w:color w:val="000000"/>
                <w:sz w:val="17"/>
              </w:rPr>
              <w:t>Sequence</w:t>
            </w:r>
          </w:p>
        </w:tc>
        <w:tc>
          <w:tcPr>
            <w:tcW w:type="dxa" w:w="1152"/>
            <w:vAlign w:val="center"/>
            <w:tcMar>
              <w:top w:w="90" w:type="dxa"/>
              <w:start w:w="95" w:type="dxa"/>
              <w:bottom w:w="90" w:type="dxa"/>
              <w:end w:w="95" w:type="dxa"/>
            </w:tcMar>
          </w:tcPr>
          <w:p>
            <w:pPr>
              <w:spacing w:after="0" w:line="240" w:lineRule="auto"/>
              <w:jc w:val="center"/>
            </w:pPr>
            <w:r/>
            <w:r>
              <w:rPr>
                <w:rFonts w:ascii="Aptos" w:hAnsi="Aptos"/>
                <w:b w:val="0"/>
                <w:color w:val="000000"/>
                <w:sz w:val="17"/>
              </w:rPr>
              <w:t>10</w:t>
            </w:r>
          </w:p>
        </w:tc>
        <w:tc>
          <w:tcPr>
            <w:tcW w:type="dxa" w:w="6912"/>
            <w:vAlign w:val="center"/>
            <w:tcMar>
              <w:top w:w="90" w:type="dxa"/>
              <w:start w:w="95" w:type="dxa"/>
              <w:bottom w:w="90" w:type="dxa"/>
              <w:end w:w="95" w:type="dxa"/>
            </w:tcMar>
          </w:tcPr>
          <w:p>
            <w:pPr>
              <w:spacing w:after="0" w:line="240" w:lineRule="auto"/>
              <w:jc w:val="left"/>
            </w:pPr>
            <w:r/>
            <w:r>
              <w:rPr>
                <w:rFonts w:ascii="Aptos" w:hAnsi="Aptos"/>
                <w:b w:val="0"/>
                <w:color w:val="000000"/>
                <w:sz w:val="17"/>
              </w:rPr>
              <w:t>Confidence from preceding-flow context</w:t>
            </w:r>
          </w:p>
        </w:tc>
      </w:tr>
      <w:tr>
        <w:tc>
          <w:tcPr>
            <w:tcW w:type="dxa" w:w="2016"/>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7"/>
              </w:rPr>
              <w:t>Telemetry</w:t>
            </w:r>
          </w:p>
        </w:tc>
        <w:tc>
          <w:tcPr>
            <w:tcW w:type="dxa" w:w="1152"/>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7"/>
              </w:rPr>
              <w:t>10</w:t>
            </w:r>
          </w:p>
        </w:tc>
        <w:tc>
          <w:tcPr>
            <w:tcW w:type="dxa" w:w="6912"/>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7"/>
              </w:rPr>
              <w:t>Threat-specific flow indicators</w:t>
            </w:r>
          </w:p>
        </w:tc>
      </w:tr>
      <w:tr>
        <w:tc>
          <w:tcPr>
            <w:tcW w:type="dxa" w:w="2016"/>
            <w:vAlign w:val="center"/>
            <w:tcMar>
              <w:top w:w="90" w:type="dxa"/>
              <w:start w:w="95" w:type="dxa"/>
              <w:bottom w:w="90" w:type="dxa"/>
              <w:end w:w="95" w:type="dxa"/>
            </w:tcMar>
          </w:tcPr>
          <w:p>
            <w:pPr>
              <w:spacing w:after="0" w:line="240" w:lineRule="auto"/>
              <w:jc w:val="center"/>
            </w:pPr>
            <w:r/>
            <w:r>
              <w:rPr>
                <w:rFonts w:ascii="Aptos" w:hAnsi="Aptos"/>
                <w:b w:val="0"/>
                <w:color w:val="000000"/>
                <w:sz w:val="17"/>
              </w:rPr>
              <w:t>Sensor</w:t>
            </w:r>
          </w:p>
        </w:tc>
        <w:tc>
          <w:tcPr>
            <w:tcW w:type="dxa" w:w="1152"/>
            <w:vAlign w:val="center"/>
            <w:tcMar>
              <w:top w:w="90" w:type="dxa"/>
              <w:start w:w="95" w:type="dxa"/>
              <w:bottom w:w="90" w:type="dxa"/>
              <w:end w:w="95" w:type="dxa"/>
            </w:tcMar>
          </w:tcPr>
          <w:p>
            <w:pPr>
              <w:spacing w:after="0" w:line="240" w:lineRule="auto"/>
              <w:jc w:val="center"/>
            </w:pPr>
            <w:r/>
            <w:r>
              <w:rPr>
                <w:rFonts w:ascii="Aptos" w:hAnsi="Aptos"/>
                <w:b w:val="0"/>
                <w:color w:val="000000"/>
                <w:sz w:val="17"/>
              </w:rPr>
              <w:t>5</w:t>
            </w:r>
          </w:p>
        </w:tc>
        <w:tc>
          <w:tcPr>
            <w:tcW w:type="dxa" w:w="6912"/>
            <w:vAlign w:val="center"/>
            <w:tcMar>
              <w:top w:w="90" w:type="dxa"/>
              <w:start w:w="95" w:type="dxa"/>
              <w:bottom w:w="90" w:type="dxa"/>
              <w:end w:w="95" w:type="dxa"/>
            </w:tcMar>
          </w:tcPr>
          <w:p>
            <w:pPr>
              <w:spacing w:after="0" w:line="240" w:lineRule="auto"/>
              <w:jc w:val="left"/>
            </w:pPr>
            <w:r/>
            <w:r>
              <w:rPr>
                <w:rFonts w:ascii="Aptos" w:hAnsi="Aptos"/>
                <w:b w:val="0"/>
                <w:color w:val="000000"/>
                <w:sz w:val="17"/>
              </w:rPr>
              <w:t>Suricata alert corroboration</w:t>
            </w:r>
          </w:p>
        </w:tc>
      </w:tr>
      <w:tr>
        <w:tc>
          <w:tcPr>
            <w:tcW w:type="dxa" w:w="2016"/>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7"/>
              </w:rPr>
              <w:t>Asset</w:t>
            </w:r>
          </w:p>
        </w:tc>
        <w:tc>
          <w:tcPr>
            <w:tcW w:type="dxa" w:w="1152"/>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7"/>
              </w:rPr>
              <w:t>10</w:t>
            </w:r>
          </w:p>
        </w:tc>
        <w:tc>
          <w:tcPr>
            <w:tcW w:type="dxa" w:w="6912"/>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7"/>
              </w:rPr>
              <w:t>Destination criticality</w:t>
            </w:r>
          </w:p>
        </w:tc>
      </w:tr>
    </w:tbl>
    <w:p>
      <w:pPr>
        <w:spacing w:after="40"/>
      </w:pP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trPr>
        <w:tc>
          <w:tcPr>
            <w:tcW w:type="dxa" w:w="504"/>
            <w:shd w:fill="17365D"/>
            <w:vAlign w:val="center"/>
            <w:tcMar>
              <w:top w:w="90" w:type="dxa"/>
              <w:start w:w="95" w:type="dxa"/>
              <w:bottom w:w="90" w:type="dxa"/>
              <w:end w:w="95" w:type="dxa"/>
            </w:tcMar>
          </w:tcPr>
          <w:p>
            <w:pPr>
              <w:spacing w:after="0" w:line="240" w:lineRule="auto"/>
              <w:jc w:val="left"/>
            </w:pPr>
            <w:r/>
            <w:r>
              <w:rPr>
                <w:rFonts w:ascii="Aptos" w:hAnsi="Aptos"/>
                <w:b/>
                <w:color w:val="FFFFFF"/>
                <w:sz w:val="14"/>
              </w:rPr>
              <w:t>ID</w:t>
            </w:r>
          </w:p>
        </w:tc>
        <w:tc>
          <w:tcPr>
            <w:tcW w:type="dxa" w:w="1080"/>
            <w:shd w:fill="17365D"/>
            <w:vAlign w:val="center"/>
            <w:tcMar>
              <w:top w:w="90" w:type="dxa"/>
              <w:start w:w="95" w:type="dxa"/>
              <w:bottom w:w="90" w:type="dxa"/>
              <w:end w:w="95" w:type="dxa"/>
            </w:tcMar>
          </w:tcPr>
          <w:p>
            <w:pPr>
              <w:spacing w:after="0" w:line="240" w:lineRule="auto"/>
              <w:jc w:val="left"/>
            </w:pPr>
            <w:r/>
            <w:r>
              <w:rPr>
                <w:rFonts w:ascii="Aptos" w:hAnsi="Aptos"/>
                <w:b/>
                <w:color w:val="FFFFFF"/>
                <w:sz w:val="14"/>
              </w:rPr>
              <w:t>Threat</w:t>
            </w:r>
          </w:p>
        </w:tc>
        <w:tc>
          <w:tcPr>
            <w:tcW w:type="dxa" w:w="1800"/>
            <w:shd w:fill="17365D"/>
            <w:vAlign w:val="center"/>
            <w:tcMar>
              <w:top w:w="90" w:type="dxa"/>
              <w:start w:w="95" w:type="dxa"/>
              <w:bottom w:w="90" w:type="dxa"/>
              <w:end w:w="95" w:type="dxa"/>
            </w:tcMar>
          </w:tcPr>
          <w:p>
            <w:pPr>
              <w:spacing w:after="0" w:line="240" w:lineRule="auto"/>
              <w:jc w:val="left"/>
            </w:pPr>
            <w:r/>
            <w:r>
              <w:rPr>
                <w:rFonts w:ascii="Aptos" w:hAnsi="Aptos"/>
                <w:b/>
                <w:color w:val="FFFFFF"/>
                <w:sz w:val="14"/>
              </w:rPr>
              <w:t>Evidence</w:t>
            </w:r>
          </w:p>
        </w:tc>
        <w:tc>
          <w:tcPr>
            <w:tcW w:type="dxa" w:w="2232"/>
            <w:shd w:fill="17365D"/>
            <w:vAlign w:val="center"/>
            <w:tcMar>
              <w:top w:w="90" w:type="dxa"/>
              <w:start w:w="95" w:type="dxa"/>
              <w:bottom w:w="90" w:type="dxa"/>
              <w:end w:w="95" w:type="dxa"/>
            </w:tcMar>
          </w:tcPr>
          <w:p>
            <w:pPr>
              <w:spacing w:after="0" w:line="240" w:lineRule="auto"/>
              <w:jc w:val="left"/>
            </w:pPr>
            <w:r/>
            <w:r>
              <w:rPr>
                <w:rFonts w:ascii="Aptos" w:hAnsi="Aptos"/>
                <w:b/>
                <w:color w:val="FFFFFF"/>
                <w:sz w:val="14"/>
              </w:rPr>
              <w:t>ATT&amp;CK</w:t>
            </w:r>
          </w:p>
        </w:tc>
        <w:tc>
          <w:tcPr>
            <w:tcW w:type="dxa" w:w="2448"/>
            <w:shd w:fill="17365D"/>
            <w:vAlign w:val="center"/>
            <w:tcMar>
              <w:top w:w="90" w:type="dxa"/>
              <w:start w:w="95" w:type="dxa"/>
              <w:bottom w:w="90" w:type="dxa"/>
              <w:end w:w="95" w:type="dxa"/>
            </w:tcMar>
          </w:tcPr>
          <w:p>
            <w:pPr>
              <w:spacing w:after="0" w:line="240" w:lineRule="auto"/>
              <w:jc w:val="left"/>
            </w:pPr>
            <w:r/>
            <w:r>
              <w:rPr>
                <w:rFonts w:ascii="Aptos" w:hAnsi="Aptos"/>
                <w:b/>
                <w:color w:val="FFFFFF"/>
                <w:sz w:val="14"/>
              </w:rPr>
              <w:t>Recommended action</w:t>
            </w:r>
          </w:p>
        </w:tc>
        <w:tc>
          <w:tcPr>
            <w:tcW w:type="dxa" w:w="2016"/>
            <w:shd w:fill="17365D"/>
            <w:vAlign w:val="center"/>
            <w:tcMar>
              <w:top w:w="90" w:type="dxa"/>
              <w:start w:w="95" w:type="dxa"/>
              <w:bottom w:w="90" w:type="dxa"/>
              <w:end w:w="95" w:type="dxa"/>
            </w:tcMar>
          </w:tcPr>
          <w:p>
            <w:pPr>
              <w:spacing w:after="0" w:line="240" w:lineRule="auto"/>
              <w:jc w:val="left"/>
            </w:pPr>
            <w:r/>
            <w:r>
              <w:rPr>
                <w:rFonts w:ascii="Aptos" w:hAnsi="Aptos"/>
                <w:b/>
                <w:color w:val="FFFFFF"/>
                <w:sz w:val="14"/>
              </w:rPr>
              <w:t>Reason</w:t>
            </w:r>
          </w:p>
        </w:tc>
      </w:tr>
      <w:tr>
        <w:tc>
          <w:tcPr>
            <w:tcW w:type="dxa" w:w="504"/>
            <w:vAlign w:val="center"/>
            <w:tcMar>
              <w:top w:w="90" w:type="dxa"/>
              <w:start w:w="95" w:type="dxa"/>
              <w:bottom w:w="90" w:type="dxa"/>
              <w:end w:w="95" w:type="dxa"/>
            </w:tcMar>
          </w:tcPr>
          <w:p>
            <w:pPr>
              <w:spacing w:after="0" w:line="240" w:lineRule="auto"/>
              <w:jc w:val="center"/>
            </w:pPr>
            <w:r/>
            <w:r>
              <w:rPr>
                <w:rFonts w:ascii="Aptos" w:hAnsi="Aptos"/>
                <w:b w:val="0"/>
                <w:color w:val="000000"/>
                <w:sz w:val="14"/>
              </w:rPr>
              <w:t>1</w:t>
            </w:r>
          </w:p>
        </w:tc>
        <w:tc>
          <w:tcPr>
            <w:tcW w:type="dxa" w:w="1080"/>
            <w:vAlign w:val="center"/>
            <w:tcMar>
              <w:top w:w="90" w:type="dxa"/>
              <w:start w:w="95" w:type="dxa"/>
              <w:bottom w:w="90" w:type="dxa"/>
              <w:end w:w="95" w:type="dxa"/>
            </w:tcMar>
          </w:tcPr>
          <w:p>
            <w:pPr>
              <w:spacing w:after="0" w:line="240" w:lineRule="auto"/>
              <w:jc w:val="center"/>
            </w:pPr>
            <w:r/>
            <w:r>
              <w:rPr>
                <w:rFonts w:ascii="Aptos" w:hAnsi="Aptos"/>
                <w:b w:val="0"/>
                <w:color w:val="000000"/>
                <w:sz w:val="14"/>
              </w:rPr>
              <w:t>DDoS</w:t>
            </w:r>
          </w:p>
        </w:tc>
        <w:tc>
          <w:tcPr>
            <w:tcW w:type="dxa" w:w="1800"/>
            <w:vAlign w:val="center"/>
            <w:tcMar>
              <w:top w:w="90" w:type="dxa"/>
              <w:start w:w="95" w:type="dxa"/>
              <w:bottom w:w="90" w:type="dxa"/>
              <w:end w:w="95" w:type="dxa"/>
            </w:tcMar>
          </w:tcPr>
          <w:p>
            <w:pPr>
              <w:spacing w:after="0" w:line="240" w:lineRule="auto"/>
              <w:jc w:val="left"/>
            </w:pPr>
            <w:r/>
            <w:r>
              <w:rPr>
                <w:rFonts w:ascii="Aptos" w:hAnsi="Aptos"/>
                <w:b w:val="0"/>
                <w:color w:val="000000"/>
                <w:sz w:val="14"/>
              </w:rPr>
              <w:t>risk 88; model 0.9999; anomaly 1.00</w:t>
            </w:r>
          </w:p>
        </w:tc>
        <w:tc>
          <w:tcPr>
            <w:tcW w:type="dxa" w:w="2232"/>
            <w:vAlign w:val="center"/>
            <w:tcMar>
              <w:top w:w="90" w:type="dxa"/>
              <w:start w:w="95" w:type="dxa"/>
              <w:bottom w:w="90" w:type="dxa"/>
              <w:end w:w="95" w:type="dxa"/>
            </w:tcMar>
          </w:tcPr>
          <w:p>
            <w:pPr>
              <w:spacing w:after="0" w:line="240" w:lineRule="auto"/>
              <w:jc w:val="left"/>
            </w:pPr>
            <w:r/>
            <w:r>
              <w:rPr>
                <w:rFonts w:ascii="Aptos" w:hAnsi="Aptos"/>
                <w:b w:val="0"/>
                <w:color w:val="000000"/>
                <w:sz w:val="14"/>
              </w:rPr>
              <w:t>T1498 Network Denial of Service</w:t>
            </w:r>
          </w:p>
        </w:tc>
        <w:tc>
          <w:tcPr>
            <w:tcW w:type="dxa" w:w="2448"/>
            <w:vAlign w:val="center"/>
            <w:tcMar>
              <w:top w:w="90" w:type="dxa"/>
              <w:start w:w="95" w:type="dxa"/>
              <w:bottom w:w="90" w:type="dxa"/>
              <w:end w:w="95" w:type="dxa"/>
            </w:tcMar>
          </w:tcPr>
          <w:p>
            <w:pPr>
              <w:spacing w:after="0" w:line="240" w:lineRule="auto"/>
              <w:jc w:val="left"/>
            </w:pPr>
            <w:r/>
            <w:r>
              <w:rPr>
                <w:rFonts w:ascii="Aptos" w:hAnsi="Aptos"/>
                <w:b w:val="0"/>
                <w:color w:val="000000"/>
                <w:sz w:val="14"/>
              </w:rPr>
              <w:t>Validate telemetry; recommend lab isolation after approval</w:t>
            </w:r>
          </w:p>
        </w:tc>
        <w:tc>
          <w:tcPr>
            <w:tcW w:type="dxa" w:w="2016"/>
            <w:vAlign w:val="center"/>
            <w:tcMar>
              <w:top w:w="90" w:type="dxa"/>
              <w:start w:w="95" w:type="dxa"/>
              <w:bottom w:w="90" w:type="dxa"/>
              <w:end w:w="95" w:type="dxa"/>
            </w:tcMar>
          </w:tcPr>
          <w:p>
            <w:pPr>
              <w:spacing w:after="0" w:line="240" w:lineRule="auto"/>
              <w:jc w:val="left"/>
            </w:pPr>
            <w:r/>
            <w:r>
              <w:rPr>
                <w:rFonts w:ascii="Aptos" w:hAnsi="Aptos"/>
                <w:b w:val="0"/>
                <w:color w:val="000000"/>
                <w:sz w:val="14"/>
              </w:rPr>
              <w:t>components 45+20+2+6+5+10</w:t>
            </w:r>
          </w:p>
        </w:tc>
      </w:tr>
      <w:tr>
        <w:tc>
          <w:tcPr>
            <w:tcW w:type="dxa" w:w="504"/>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4"/>
              </w:rPr>
              <w:t>2</w:t>
            </w:r>
          </w:p>
        </w:tc>
        <w:tc>
          <w:tcPr>
            <w:tcW w:type="dxa" w:w="1080"/>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4"/>
              </w:rPr>
              <w:t>DDoS</w:t>
            </w:r>
          </w:p>
        </w:tc>
        <w:tc>
          <w:tcPr>
            <w:tcW w:type="dxa" w:w="1800"/>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4"/>
              </w:rPr>
              <w:t>risk 88; model 0.9999; anomaly 1.00</w:t>
            </w:r>
          </w:p>
        </w:tc>
        <w:tc>
          <w:tcPr>
            <w:tcW w:type="dxa" w:w="2232"/>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4"/>
              </w:rPr>
              <w:t>T1498 Network Denial of Service</w:t>
            </w:r>
          </w:p>
        </w:tc>
        <w:tc>
          <w:tcPr>
            <w:tcW w:type="dxa" w:w="2448"/>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4"/>
              </w:rPr>
              <w:t>Validate telemetry; recommend lab isolation after approval</w:t>
            </w:r>
          </w:p>
        </w:tc>
        <w:tc>
          <w:tcPr>
            <w:tcW w:type="dxa" w:w="2016"/>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4"/>
              </w:rPr>
              <w:t>components 45+20+2+6+5+10</w:t>
            </w:r>
          </w:p>
        </w:tc>
      </w:tr>
      <w:tr>
        <w:tc>
          <w:tcPr>
            <w:tcW w:type="dxa" w:w="504"/>
            <w:vAlign w:val="center"/>
            <w:tcMar>
              <w:top w:w="90" w:type="dxa"/>
              <w:start w:w="95" w:type="dxa"/>
              <w:bottom w:w="90" w:type="dxa"/>
              <w:end w:w="95" w:type="dxa"/>
            </w:tcMar>
          </w:tcPr>
          <w:p>
            <w:pPr>
              <w:spacing w:after="0" w:line="240" w:lineRule="auto"/>
              <w:jc w:val="center"/>
            </w:pPr>
            <w:r/>
            <w:r>
              <w:rPr>
                <w:rFonts w:ascii="Aptos" w:hAnsi="Aptos"/>
                <w:b w:val="0"/>
                <w:color w:val="000000"/>
                <w:sz w:val="14"/>
              </w:rPr>
              <w:t>3</w:t>
            </w:r>
          </w:p>
        </w:tc>
        <w:tc>
          <w:tcPr>
            <w:tcW w:type="dxa" w:w="1080"/>
            <w:vAlign w:val="center"/>
            <w:tcMar>
              <w:top w:w="90" w:type="dxa"/>
              <w:start w:w="95" w:type="dxa"/>
              <w:bottom w:w="90" w:type="dxa"/>
              <w:end w:w="95" w:type="dxa"/>
            </w:tcMar>
          </w:tcPr>
          <w:p>
            <w:pPr>
              <w:spacing w:after="0" w:line="240" w:lineRule="auto"/>
              <w:jc w:val="center"/>
            </w:pPr>
            <w:r/>
            <w:r>
              <w:rPr>
                <w:rFonts w:ascii="Aptos" w:hAnsi="Aptos"/>
                <w:b w:val="0"/>
                <w:color w:val="000000"/>
                <w:sz w:val="14"/>
              </w:rPr>
              <w:t>DDoS</w:t>
            </w:r>
          </w:p>
        </w:tc>
        <w:tc>
          <w:tcPr>
            <w:tcW w:type="dxa" w:w="1800"/>
            <w:vAlign w:val="center"/>
            <w:tcMar>
              <w:top w:w="90" w:type="dxa"/>
              <w:start w:w="95" w:type="dxa"/>
              <w:bottom w:w="90" w:type="dxa"/>
              <w:end w:w="95" w:type="dxa"/>
            </w:tcMar>
          </w:tcPr>
          <w:p>
            <w:pPr>
              <w:spacing w:after="0" w:line="240" w:lineRule="auto"/>
              <w:jc w:val="left"/>
            </w:pPr>
            <w:r/>
            <w:r>
              <w:rPr>
                <w:rFonts w:ascii="Aptos" w:hAnsi="Aptos"/>
                <w:b w:val="0"/>
                <w:color w:val="000000"/>
                <w:sz w:val="14"/>
              </w:rPr>
              <w:t>risk 88; model 0.9996; anomaly 1.00</w:t>
            </w:r>
          </w:p>
        </w:tc>
        <w:tc>
          <w:tcPr>
            <w:tcW w:type="dxa" w:w="2232"/>
            <w:vAlign w:val="center"/>
            <w:tcMar>
              <w:top w:w="90" w:type="dxa"/>
              <w:start w:w="95" w:type="dxa"/>
              <w:bottom w:w="90" w:type="dxa"/>
              <w:end w:w="95" w:type="dxa"/>
            </w:tcMar>
          </w:tcPr>
          <w:p>
            <w:pPr>
              <w:spacing w:after="0" w:line="240" w:lineRule="auto"/>
              <w:jc w:val="left"/>
            </w:pPr>
            <w:r/>
            <w:r>
              <w:rPr>
                <w:rFonts w:ascii="Aptos" w:hAnsi="Aptos"/>
                <w:b w:val="0"/>
                <w:color w:val="000000"/>
                <w:sz w:val="14"/>
              </w:rPr>
              <w:t>T1498 Network Denial of Service</w:t>
            </w:r>
          </w:p>
        </w:tc>
        <w:tc>
          <w:tcPr>
            <w:tcW w:type="dxa" w:w="2448"/>
            <w:vAlign w:val="center"/>
            <w:tcMar>
              <w:top w:w="90" w:type="dxa"/>
              <w:start w:w="95" w:type="dxa"/>
              <w:bottom w:w="90" w:type="dxa"/>
              <w:end w:w="95" w:type="dxa"/>
            </w:tcMar>
          </w:tcPr>
          <w:p>
            <w:pPr>
              <w:spacing w:after="0" w:line="240" w:lineRule="auto"/>
              <w:jc w:val="left"/>
            </w:pPr>
            <w:r/>
            <w:r>
              <w:rPr>
                <w:rFonts w:ascii="Aptos" w:hAnsi="Aptos"/>
                <w:b w:val="0"/>
                <w:color w:val="000000"/>
                <w:sz w:val="14"/>
              </w:rPr>
              <w:t>Validate telemetry; recommend lab isolation after approval</w:t>
            </w:r>
          </w:p>
        </w:tc>
        <w:tc>
          <w:tcPr>
            <w:tcW w:type="dxa" w:w="2016"/>
            <w:vAlign w:val="center"/>
            <w:tcMar>
              <w:top w:w="90" w:type="dxa"/>
              <w:start w:w="95" w:type="dxa"/>
              <w:bottom w:w="90" w:type="dxa"/>
              <w:end w:w="95" w:type="dxa"/>
            </w:tcMar>
          </w:tcPr>
          <w:p>
            <w:pPr>
              <w:spacing w:after="0" w:line="240" w:lineRule="auto"/>
              <w:jc w:val="left"/>
            </w:pPr>
            <w:r/>
            <w:r>
              <w:rPr>
                <w:rFonts w:ascii="Aptos" w:hAnsi="Aptos"/>
                <w:b w:val="0"/>
                <w:color w:val="000000"/>
                <w:sz w:val="14"/>
              </w:rPr>
              <w:t>components 45+20+2+6+5+10</w:t>
            </w:r>
          </w:p>
        </w:tc>
      </w:tr>
    </w:tbl>
    <w:p>
      <w:pPr>
        <w:spacing w:after="40"/>
      </w:pPr>
    </w:p>
    <w:p>
      <w:r>
        <w:t>ATT&amp;CK mappings provide investigation context, not proof of adversary technique or attribution. The analyst must validate the original flow, related events, host context, and sensor evidence.</w:t>
      </w:r>
    </w:p>
    <w:p>
      <w:pPr>
        <w:pStyle w:val="Heading1"/>
        <w:keepNext/>
      </w:pPr>
      <w:r>
        <w:t>9 AI Response Recommendation</w:t>
      </w:r>
    </w:p>
    <w:p>
      <w:r>
        <w:t>The simulator generated 20 response recommendations from the highest-priority alerts. Every action is labeled dry-run and requires human approval. It cannot alter firewalls, isolate endpoints, disable accounts, or invoke a production SOAR platform.</w:t>
      </w:r>
    </w:p>
    <w:p>
      <w:r>
        <w:t>For RFC1918 source addresses, a high-risk alert may produce recommend_isolate_lab_host. This is an analyst recommendation only. Public, documentation-range, or malformed sources are escalated rather than isolated, preventing the prototype from proposing direct action against an address outside the controlled lab boundary.</w:t>
      </w:r>
    </w:p>
    <w:p>
      <w:pPr>
        <w:pStyle w:val="ListBullet"/>
      </w:pPr>
      <w:r>
        <w:t>Validate the raw flow and surrounding Zeek or Suricata events.</w:t>
      </w:r>
    </w:p>
    <w:p>
      <w:pPr>
        <w:pStyle w:val="ListBullet"/>
      </w:pPr>
      <w:r>
        <w:t>Confirm the source is an authorized lab asset and assess business impact.</w:t>
      </w:r>
    </w:p>
    <w:p>
      <w:pPr>
        <w:pStyle w:val="ListBullet"/>
      </w:pPr>
      <w:r>
        <w:t>Document analyst approval before any containment in a separate authorized system.</w:t>
      </w:r>
    </w:p>
    <w:p>
      <w:pPr>
        <w:pStyle w:val="ListBullet"/>
      </w:pPr>
      <w:r>
        <w:t>Record false positives and feed threshold review rather than silently suppressing alerts.</w:t>
      </w:r>
    </w:p>
    <w:p>
      <w:r>
        <w:br w:type="page"/>
      </w:r>
    </w:p>
    <w:p>
      <w:pPr>
        <w:pStyle w:val="Heading1"/>
        <w:keepNext/>
      </w:pPr>
      <w:r>
        <w:t>10 Limitations and Future Work</w:t>
      </w:r>
    </w:p>
    <w:p>
      <w:r>
        <w:t>The model was trained in a controlled lab and needs validation on real authorized telemetry.</w:t>
      </w:r>
    </w:p>
    <w:p>
      <w:r>
        <w:t>The response simulator is not a production SOAR system.</w:t>
      </w:r>
    </w:p>
    <w:p>
      <w:r>
        <w:t>High confidence does not remove the need for analyst review.</w:t>
      </w:r>
    </w:p>
    <w:p>
      <w:r>
        <w:t>Dataset quality and label quality directly affect model reliability.</w:t>
      </w:r>
    </w:p>
    <w:p>
      <w:r>
        <w:t>Additional limitations include class patterns that are easier to separate than real traffic, independently sampled labels that weaken temporal evaluation, uncalibrated probabilities, synthetic sensor fields, no concept-drift monitor, and no adversarial-evasion assessment. Real deployment would also require privacy review, access control, retention limits, model governance, rollback procedures, and measurement against operational alert base rates.</w:t>
      </w:r>
    </w:p>
    <w:p>
      <w:r>
        <w:t>Prioritized future work is to ingest authorized Zeek or Suricata records, define campaign-aware temporal labels, compare against simple baselines, calibrate scores and thresholds, measure precision at realistic prevalence, add drift and data-quality monitoring, and integrate only with approval-gated case management.</w:t>
      </w:r>
    </w:p>
    <w:p>
      <w:pPr>
        <w:pStyle w:val="Heading2"/>
        <w:keepNext/>
      </w:pPr>
      <w:r>
        <w:t>Completed Model Comparison</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1584"/>
            <w:shd w:fill="17365D"/>
            <w:vAlign w:val="center"/>
            <w:tcMar>
              <w:top w:w="90" w:type="dxa"/>
              <w:start w:w="95" w:type="dxa"/>
              <w:bottom w:w="90" w:type="dxa"/>
              <w:end w:w="95" w:type="dxa"/>
            </w:tcMar>
          </w:tcPr>
          <w:p>
            <w:pPr>
              <w:spacing w:after="0" w:line="240" w:lineRule="auto"/>
              <w:jc w:val="left"/>
            </w:pPr>
            <w:r/>
            <w:r>
              <w:rPr>
                <w:rFonts w:ascii="Aptos" w:hAnsi="Aptos"/>
                <w:b/>
                <w:color w:val="FFFFFF"/>
                <w:sz w:val="15"/>
              </w:rPr>
              <w:t>Model</w:t>
            </w:r>
          </w:p>
        </w:tc>
        <w:tc>
          <w:tcPr>
            <w:tcW w:type="dxa" w:w="1944"/>
            <w:shd w:fill="17365D"/>
            <w:vAlign w:val="center"/>
            <w:tcMar>
              <w:top w:w="90" w:type="dxa"/>
              <w:start w:w="95" w:type="dxa"/>
              <w:bottom w:w="90" w:type="dxa"/>
              <w:end w:w="95" w:type="dxa"/>
            </w:tcMar>
          </w:tcPr>
          <w:p>
            <w:pPr>
              <w:spacing w:after="0" w:line="240" w:lineRule="auto"/>
              <w:jc w:val="left"/>
            </w:pPr>
            <w:r/>
            <w:r>
              <w:rPr>
                <w:rFonts w:ascii="Aptos" w:hAnsi="Aptos"/>
                <w:b/>
                <w:color w:val="FFFFFF"/>
                <w:sz w:val="15"/>
              </w:rPr>
              <w:t>Input features</w:t>
            </w:r>
          </w:p>
        </w:tc>
        <w:tc>
          <w:tcPr>
            <w:tcW w:type="dxa" w:w="1584"/>
            <w:shd w:fill="17365D"/>
            <w:vAlign w:val="center"/>
            <w:tcMar>
              <w:top w:w="90" w:type="dxa"/>
              <w:start w:w="95" w:type="dxa"/>
              <w:bottom w:w="90" w:type="dxa"/>
              <w:end w:w="95" w:type="dxa"/>
            </w:tcMar>
          </w:tcPr>
          <w:p>
            <w:pPr>
              <w:spacing w:after="0" w:line="240" w:lineRule="auto"/>
              <w:jc w:val="left"/>
            </w:pPr>
            <w:r/>
            <w:r>
              <w:rPr>
                <w:rFonts w:ascii="Aptos" w:hAnsi="Aptos"/>
                <w:b/>
                <w:color w:val="FFFFFF"/>
                <w:sz w:val="15"/>
              </w:rPr>
              <w:t>Best metric</w:t>
            </w:r>
          </w:p>
        </w:tc>
        <w:tc>
          <w:tcPr>
            <w:tcW w:type="dxa" w:w="2520"/>
            <w:shd w:fill="17365D"/>
            <w:vAlign w:val="center"/>
            <w:tcMar>
              <w:top w:w="90" w:type="dxa"/>
              <w:start w:w="95" w:type="dxa"/>
              <w:bottom w:w="90" w:type="dxa"/>
              <w:end w:w="95" w:type="dxa"/>
            </w:tcMar>
          </w:tcPr>
          <w:p>
            <w:pPr>
              <w:spacing w:after="0" w:line="240" w:lineRule="auto"/>
              <w:jc w:val="left"/>
            </w:pPr>
            <w:r/>
            <w:r>
              <w:rPr>
                <w:rFonts w:ascii="Aptos" w:hAnsi="Aptos"/>
                <w:b/>
                <w:color w:val="FFFFFF"/>
                <w:sz w:val="15"/>
              </w:rPr>
              <w:t>Strength</w:t>
            </w:r>
          </w:p>
        </w:tc>
        <w:tc>
          <w:tcPr>
            <w:tcW w:type="dxa" w:w="2448"/>
            <w:shd w:fill="17365D"/>
            <w:vAlign w:val="center"/>
            <w:tcMar>
              <w:top w:w="90" w:type="dxa"/>
              <w:start w:w="95" w:type="dxa"/>
              <w:bottom w:w="90" w:type="dxa"/>
              <w:end w:w="95" w:type="dxa"/>
            </w:tcMar>
          </w:tcPr>
          <w:p>
            <w:pPr>
              <w:spacing w:after="0" w:line="240" w:lineRule="auto"/>
              <w:jc w:val="left"/>
            </w:pPr>
            <w:r/>
            <w:r>
              <w:rPr>
                <w:rFonts w:ascii="Aptos" w:hAnsi="Aptos"/>
                <w:b/>
                <w:color w:val="FFFFFF"/>
                <w:sz w:val="15"/>
              </w:rPr>
              <w:t>Weakness</w:t>
            </w:r>
          </w:p>
        </w:tc>
      </w:tr>
      <w:tr>
        <w:tc>
          <w:tcPr>
            <w:tcW w:type="dxa" w:w="1584"/>
            <w:vAlign w:val="center"/>
            <w:tcMar>
              <w:top w:w="90" w:type="dxa"/>
              <w:start w:w="95" w:type="dxa"/>
              <w:bottom w:w="90" w:type="dxa"/>
              <w:end w:w="95" w:type="dxa"/>
            </w:tcMar>
          </w:tcPr>
          <w:p>
            <w:pPr>
              <w:spacing w:after="0" w:line="240" w:lineRule="auto"/>
              <w:jc w:val="center"/>
            </w:pPr>
            <w:r/>
            <w:r>
              <w:rPr>
                <w:rFonts w:ascii="Aptos" w:hAnsi="Aptos"/>
                <w:b w:val="0"/>
                <w:color w:val="000000"/>
                <w:sz w:val="15"/>
              </w:rPr>
              <w:t>Residual MLP</w:t>
            </w:r>
          </w:p>
        </w:tc>
        <w:tc>
          <w:tcPr>
            <w:tcW w:type="dxa" w:w="1944"/>
            <w:vAlign w:val="center"/>
            <w:tcMar>
              <w:top w:w="90" w:type="dxa"/>
              <w:start w:w="95" w:type="dxa"/>
              <w:bottom w:w="90" w:type="dxa"/>
              <w:end w:w="95" w:type="dxa"/>
            </w:tcMar>
          </w:tcPr>
          <w:p>
            <w:pPr>
              <w:spacing w:after="0" w:line="240" w:lineRule="auto"/>
              <w:jc w:val="center"/>
            </w:pPr>
            <w:r/>
            <w:r>
              <w:rPr>
                <w:rFonts w:ascii="Aptos" w:hAnsi="Aptos"/>
                <w:b w:val="0"/>
                <w:color w:val="000000"/>
                <w:sz w:val="15"/>
              </w:rPr>
              <w:t>14 flow features</w:t>
            </w:r>
          </w:p>
        </w:tc>
        <w:tc>
          <w:tcPr>
            <w:tcW w:type="dxa" w:w="1584"/>
            <w:vAlign w:val="center"/>
            <w:tcMar>
              <w:top w:w="90" w:type="dxa"/>
              <w:start w:w="95" w:type="dxa"/>
              <w:bottom w:w="90" w:type="dxa"/>
              <w:end w:w="95" w:type="dxa"/>
            </w:tcMar>
          </w:tcPr>
          <w:p>
            <w:pPr>
              <w:spacing w:after="0" w:line="240" w:lineRule="auto"/>
              <w:jc w:val="center"/>
            </w:pPr>
            <w:r/>
            <w:r>
              <w:rPr>
                <w:rFonts w:ascii="Aptos" w:hAnsi="Aptos"/>
                <w:b w:val="0"/>
                <w:color w:val="000000"/>
                <w:sz w:val="15"/>
              </w:rPr>
              <w:t>Macro F1 0.9987</w:t>
            </w:r>
          </w:p>
        </w:tc>
        <w:tc>
          <w:tcPr>
            <w:tcW w:type="dxa" w:w="2520"/>
            <w:vAlign w:val="center"/>
            <w:tcMar>
              <w:top w:w="90" w:type="dxa"/>
              <w:start w:w="95" w:type="dxa"/>
              <w:bottom w:w="90" w:type="dxa"/>
              <w:end w:w="95" w:type="dxa"/>
            </w:tcMar>
          </w:tcPr>
          <w:p>
            <w:pPr>
              <w:spacing w:after="0" w:line="240" w:lineRule="auto"/>
              <w:jc w:val="left"/>
            </w:pPr>
            <w:r/>
            <w:r>
              <w:rPr>
                <w:rFonts w:ascii="Aptos" w:hAnsi="Aptos"/>
                <w:b w:val="0"/>
                <w:color w:val="000000"/>
                <w:sz w:val="15"/>
              </w:rPr>
              <w:t>Known synthetic patterns</w:t>
            </w:r>
          </w:p>
        </w:tc>
        <w:tc>
          <w:tcPr>
            <w:tcW w:type="dxa" w:w="2448"/>
            <w:vAlign w:val="center"/>
            <w:tcMar>
              <w:top w:w="90" w:type="dxa"/>
              <w:start w:w="95" w:type="dxa"/>
              <w:bottom w:w="90" w:type="dxa"/>
              <w:end w:w="95" w:type="dxa"/>
            </w:tcMar>
          </w:tcPr>
          <w:p>
            <w:pPr>
              <w:spacing w:after="0" w:line="240" w:lineRule="auto"/>
              <w:jc w:val="left"/>
            </w:pPr>
            <w:r/>
            <w:r>
              <w:rPr>
                <w:rFonts w:ascii="Aptos" w:hAnsi="Aptos"/>
                <w:b w:val="0"/>
                <w:color w:val="000000"/>
                <w:sz w:val="15"/>
              </w:rPr>
              <w:t>May overstate real performance</w:t>
            </w:r>
          </w:p>
        </w:tc>
      </w:tr>
      <w:tr>
        <w:tc>
          <w:tcPr>
            <w:tcW w:type="dxa" w:w="1584"/>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5"/>
              </w:rPr>
              <w:t>Autoencoder</w:t>
            </w:r>
          </w:p>
        </w:tc>
        <w:tc>
          <w:tcPr>
            <w:tcW w:type="dxa" w:w="1944"/>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5"/>
              </w:rPr>
              <w:t>Benign baseline</w:t>
            </w:r>
          </w:p>
        </w:tc>
        <w:tc>
          <w:tcPr>
            <w:tcW w:type="dxa" w:w="1584"/>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5"/>
              </w:rPr>
              <w:t>Macro F1 0.9595</w:t>
            </w:r>
          </w:p>
        </w:tc>
        <w:tc>
          <w:tcPr>
            <w:tcW w:type="dxa" w:w="2520"/>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5"/>
              </w:rPr>
              <w:t>Strong deviation signal</w:t>
            </w:r>
          </w:p>
        </w:tc>
        <w:tc>
          <w:tcPr>
            <w:tcW w:type="dxa" w:w="2448"/>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5"/>
              </w:rPr>
              <w:t>Threshold is environment-specific</w:t>
            </w:r>
          </w:p>
        </w:tc>
      </w:tr>
      <w:tr>
        <w:tc>
          <w:tcPr>
            <w:tcW w:type="dxa" w:w="1584"/>
            <w:vAlign w:val="center"/>
            <w:tcMar>
              <w:top w:w="90" w:type="dxa"/>
              <w:start w:w="95" w:type="dxa"/>
              <w:bottom w:w="90" w:type="dxa"/>
              <w:end w:w="95" w:type="dxa"/>
            </w:tcMar>
          </w:tcPr>
          <w:p>
            <w:pPr>
              <w:spacing w:after="0" w:line="240" w:lineRule="auto"/>
              <w:jc w:val="center"/>
            </w:pPr>
            <w:r/>
            <w:r>
              <w:rPr>
                <w:rFonts w:ascii="Aptos" w:hAnsi="Aptos"/>
                <w:b w:val="0"/>
                <w:color w:val="000000"/>
                <w:sz w:val="15"/>
              </w:rPr>
              <w:t>Isolation Forest</w:t>
            </w:r>
          </w:p>
        </w:tc>
        <w:tc>
          <w:tcPr>
            <w:tcW w:type="dxa" w:w="1944"/>
            <w:vAlign w:val="center"/>
            <w:tcMar>
              <w:top w:w="90" w:type="dxa"/>
              <w:start w:w="95" w:type="dxa"/>
              <w:bottom w:w="90" w:type="dxa"/>
              <w:end w:w="95" w:type="dxa"/>
            </w:tcMar>
          </w:tcPr>
          <w:p>
            <w:pPr>
              <w:spacing w:after="0" w:line="240" w:lineRule="auto"/>
              <w:jc w:val="center"/>
            </w:pPr>
            <w:r/>
            <w:r>
              <w:rPr>
                <w:rFonts w:ascii="Aptos" w:hAnsi="Aptos"/>
                <w:b w:val="0"/>
                <w:color w:val="000000"/>
                <w:sz w:val="15"/>
              </w:rPr>
              <w:t>Benign baseline</w:t>
            </w:r>
          </w:p>
        </w:tc>
        <w:tc>
          <w:tcPr>
            <w:tcW w:type="dxa" w:w="1584"/>
            <w:vAlign w:val="center"/>
            <w:tcMar>
              <w:top w:w="90" w:type="dxa"/>
              <w:start w:w="95" w:type="dxa"/>
              <w:bottom w:w="90" w:type="dxa"/>
              <w:end w:w="95" w:type="dxa"/>
            </w:tcMar>
          </w:tcPr>
          <w:p>
            <w:pPr>
              <w:spacing w:after="0" w:line="240" w:lineRule="auto"/>
              <w:jc w:val="center"/>
            </w:pPr>
            <w:r/>
            <w:r>
              <w:rPr>
                <w:rFonts w:ascii="Aptos" w:hAnsi="Aptos"/>
                <w:b w:val="0"/>
                <w:color w:val="000000"/>
                <w:sz w:val="15"/>
              </w:rPr>
              <w:t>Macro F1 0.7942</w:t>
            </w:r>
          </w:p>
        </w:tc>
        <w:tc>
          <w:tcPr>
            <w:tcW w:type="dxa" w:w="2520"/>
            <w:vAlign w:val="center"/>
            <w:tcMar>
              <w:top w:w="90" w:type="dxa"/>
              <w:start w:w="95" w:type="dxa"/>
              <w:bottom w:w="90" w:type="dxa"/>
              <w:end w:w="95" w:type="dxa"/>
            </w:tcMar>
          </w:tcPr>
          <w:p>
            <w:pPr>
              <w:spacing w:after="0" w:line="240" w:lineRule="auto"/>
              <w:jc w:val="left"/>
            </w:pPr>
            <w:r/>
            <w:r>
              <w:rPr>
                <w:rFonts w:ascii="Aptos" w:hAnsi="Aptos"/>
                <w:b w:val="0"/>
                <w:color w:val="000000"/>
                <w:sz w:val="15"/>
              </w:rPr>
              <w:t>Non-neural corroboration</w:t>
            </w:r>
          </w:p>
        </w:tc>
        <w:tc>
          <w:tcPr>
            <w:tcW w:type="dxa" w:w="2448"/>
            <w:vAlign w:val="center"/>
            <w:tcMar>
              <w:top w:w="90" w:type="dxa"/>
              <w:start w:w="95" w:type="dxa"/>
              <w:bottom w:w="90" w:type="dxa"/>
              <w:end w:w="95" w:type="dxa"/>
            </w:tcMar>
          </w:tcPr>
          <w:p>
            <w:pPr>
              <w:spacing w:after="0" w:line="240" w:lineRule="auto"/>
              <w:jc w:val="left"/>
            </w:pPr>
            <w:r/>
            <w:r>
              <w:rPr>
                <w:rFonts w:ascii="Aptos" w:hAnsi="Aptos"/>
                <w:b w:val="0"/>
                <w:color w:val="000000"/>
                <w:sz w:val="15"/>
              </w:rPr>
              <w:t>Lower attack recall</w:t>
            </w:r>
          </w:p>
        </w:tc>
      </w:tr>
      <w:tr>
        <w:tc>
          <w:tcPr>
            <w:tcW w:type="dxa" w:w="1584"/>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5"/>
              </w:rPr>
              <w:t>GRU Sequence</w:t>
            </w:r>
          </w:p>
        </w:tc>
        <w:tc>
          <w:tcPr>
            <w:tcW w:type="dxa" w:w="1944"/>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5"/>
              </w:rPr>
              <w:t>Eight-flow windows</w:t>
            </w:r>
          </w:p>
        </w:tc>
        <w:tc>
          <w:tcPr>
            <w:tcW w:type="dxa" w:w="1584"/>
            <w:shd w:fill="EAF0F8"/>
            <w:vAlign w:val="center"/>
            <w:tcMar>
              <w:top w:w="90" w:type="dxa"/>
              <w:start w:w="95" w:type="dxa"/>
              <w:bottom w:w="90" w:type="dxa"/>
              <w:end w:w="95" w:type="dxa"/>
            </w:tcMar>
          </w:tcPr>
          <w:p>
            <w:pPr>
              <w:spacing w:after="0" w:line="240" w:lineRule="auto"/>
              <w:jc w:val="center"/>
            </w:pPr>
            <w:r/>
            <w:r>
              <w:rPr>
                <w:rFonts w:ascii="Aptos" w:hAnsi="Aptos"/>
                <w:b w:val="0"/>
                <w:color w:val="000000"/>
                <w:sz w:val="15"/>
              </w:rPr>
              <w:t>Macro F1 0.1223</w:t>
            </w:r>
          </w:p>
        </w:tc>
        <w:tc>
          <w:tcPr>
            <w:tcW w:type="dxa" w:w="2520"/>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5"/>
              </w:rPr>
              <w:t>Real temporal pipeline</w:t>
            </w:r>
          </w:p>
        </w:tc>
        <w:tc>
          <w:tcPr>
            <w:tcW w:type="dxa" w:w="2448"/>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5"/>
              </w:rPr>
              <w:t>Data lacks temporal structure</w:t>
            </w:r>
          </w:p>
        </w:tc>
      </w:tr>
    </w:tbl>
    <w:p>
      <w:pPr>
        <w:spacing w:after="40"/>
      </w:pPr>
    </w:p>
    <w:p>
      <w:r>
        <w:br w:type="page"/>
      </w:r>
    </w:p>
    <w:p>
      <w:pPr>
        <w:pStyle w:val="Heading1"/>
        <w:keepNext/>
      </w:pPr>
      <w:r>
        <w:t>Appendix A Commands</w:t>
      </w:r>
    </w:p>
    <w:p>
      <w:r>
        <w:t>The final profile reproduces the complete evidence set and records each command, exit code, elapsed time, package version, and platform detail in outputs/execution_log.txt.</w:t>
      </w:r>
    </w:p>
    <w:p>
      <w:pPr>
        <w:spacing w:after="60"/>
        <w:ind w:left="259"/>
      </w:pPr>
      <w:r>
        <w:rPr>
          <w:rFonts w:ascii="Liberation Mono" w:hAnsi="Liberation Mono"/>
          <w:sz w:val="16"/>
        </w:rPr>
        <w:t>.venv/bin/python scripts/09_run_pipeline.py --profile final</w:t>
      </w:r>
    </w:p>
    <w:p>
      <w:pPr>
        <w:spacing w:after="60"/>
        <w:ind w:left="259"/>
      </w:pPr>
      <w:r>
        <w:rPr>
          <w:rFonts w:ascii="Liberation Mono" w:hAnsi="Liberation Mono"/>
          <w:sz w:val="16"/>
        </w:rPr>
        <w:t>.venv/bin/python -m pytest tests -q</w:t>
      </w:r>
    </w:p>
    <w:p>
      <w:pPr>
        <w:spacing w:after="60"/>
        <w:ind w:left="259"/>
      </w:pPr>
      <w:r>
        <w:rPr>
          <w:rFonts w:ascii="Liberation Mono" w:hAnsi="Liberation Mono"/>
          <w:sz w:val="16"/>
        </w:rPr>
        <w:t>.venv/bin/python scripts/08_validate_deliverables.py</w:t>
      </w:r>
    </w:p>
    <w:p>
      <w:pPr>
        <w:spacing w:after="60"/>
        <w:ind w:left="259"/>
      </w:pPr>
      <w:r>
        <w:rPr>
          <w:rFonts w:ascii="Liberation Mono" w:hAnsi="Liberation Mono"/>
          <w:sz w:val="16"/>
        </w:rPr>
        <w:t>git diff --check</w:t>
      </w:r>
    </w:p>
    <w:p>
      <w:pPr>
        <w:pStyle w:val="Heading1"/>
        <w:keepNext/>
      </w:pPr>
      <w:r>
        <w:t>Appendix B Outputs</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4320"/>
            <w:shd w:fill="17365D"/>
            <w:vAlign w:val="center"/>
            <w:tcMar>
              <w:top w:w="90" w:type="dxa"/>
              <w:start w:w="95" w:type="dxa"/>
              <w:bottom w:w="90" w:type="dxa"/>
              <w:end w:w="95" w:type="dxa"/>
            </w:tcMar>
          </w:tcPr>
          <w:p>
            <w:pPr>
              <w:spacing w:after="0" w:line="240" w:lineRule="auto"/>
              <w:jc w:val="left"/>
            </w:pPr>
            <w:r/>
            <w:r>
              <w:rPr>
                <w:rFonts w:ascii="Aptos" w:hAnsi="Aptos"/>
                <w:b/>
                <w:color w:val="FFFFFF"/>
                <w:sz w:val="16"/>
              </w:rPr>
              <w:t>Artifact</w:t>
            </w:r>
          </w:p>
        </w:tc>
        <w:tc>
          <w:tcPr>
            <w:tcW w:type="dxa" w:w="5760"/>
            <w:shd w:fill="17365D"/>
            <w:vAlign w:val="center"/>
            <w:tcMar>
              <w:top w:w="90" w:type="dxa"/>
              <w:start w:w="95" w:type="dxa"/>
              <w:bottom w:w="90" w:type="dxa"/>
              <w:end w:w="95" w:type="dxa"/>
            </w:tcMar>
          </w:tcPr>
          <w:p>
            <w:pPr>
              <w:spacing w:after="0" w:line="240" w:lineRule="auto"/>
              <w:jc w:val="left"/>
            </w:pPr>
            <w:r/>
            <w:r>
              <w:rPr>
                <w:rFonts w:ascii="Aptos" w:hAnsi="Aptos"/>
                <w:b/>
                <w:color w:val="FFFFFF"/>
                <w:sz w:val="16"/>
              </w:rPr>
              <w:t>Purpose</w:t>
            </w:r>
          </w:p>
        </w:tc>
      </w:tr>
      <w:tr>
        <w:tc>
          <w:tcPr>
            <w:tcW w:type="dxa" w:w="4320"/>
            <w:vAlign w:val="center"/>
            <w:tcMar>
              <w:top w:w="90" w:type="dxa"/>
              <w:start w:w="95" w:type="dxa"/>
              <w:bottom w:w="90" w:type="dxa"/>
              <w:end w:w="95" w:type="dxa"/>
            </w:tcMar>
          </w:tcPr>
          <w:p>
            <w:pPr>
              <w:spacing w:after="0" w:line="240" w:lineRule="auto"/>
              <w:jc w:val="left"/>
            </w:pPr>
            <w:r/>
            <w:r>
              <w:rPr>
                <w:rFonts w:ascii="Aptos" w:hAnsi="Aptos"/>
                <w:b w:val="0"/>
                <w:color w:val="000000"/>
                <w:sz w:val="16"/>
              </w:rPr>
              <w:t>data/synthetic_flows.csv</w:t>
            </w:r>
          </w:p>
        </w:tc>
        <w:tc>
          <w:tcPr>
            <w:tcW w:type="dxa" w:w="5760"/>
            <w:vAlign w:val="center"/>
            <w:tcMar>
              <w:top w:w="90" w:type="dxa"/>
              <w:start w:w="95" w:type="dxa"/>
              <w:bottom w:w="90" w:type="dxa"/>
              <w:end w:w="95" w:type="dxa"/>
            </w:tcMar>
          </w:tcPr>
          <w:p>
            <w:pPr>
              <w:spacing w:after="0" w:line="240" w:lineRule="auto"/>
              <w:jc w:val="left"/>
            </w:pPr>
            <w:r/>
            <w:r>
              <w:rPr>
                <w:rFonts w:ascii="Aptos" w:hAnsi="Aptos"/>
                <w:b w:val="0"/>
                <w:color w:val="000000"/>
                <w:sz w:val="16"/>
              </w:rPr>
              <w:t>Deterministic 12,000-row dataset</w:t>
            </w:r>
          </w:p>
        </w:tc>
      </w:tr>
      <w:tr>
        <w:tc>
          <w:tcPr>
            <w:tcW w:type="dxa" w:w="4320"/>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6"/>
              </w:rPr>
              <w:t>models/supervised_ids.pt</w:t>
            </w:r>
          </w:p>
        </w:tc>
        <w:tc>
          <w:tcPr>
            <w:tcW w:type="dxa" w:w="5760"/>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6"/>
              </w:rPr>
              <w:t>Residual MLP checkpoint</w:t>
            </w:r>
          </w:p>
        </w:tc>
      </w:tr>
      <w:tr>
        <w:tc>
          <w:tcPr>
            <w:tcW w:type="dxa" w:w="4320"/>
            <w:vAlign w:val="center"/>
            <w:tcMar>
              <w:top w:w="90" w:type="dxa"/>
              <w:start w:w="95" w:type="dxa"/>
              <w:bottom w:w="90" w:type="dxa"/>
              <w:end w:w="95" w:type="dxa"/>
            </w:tcMar>
          </w:tcPr>
          <w:p>
            <w:pPr>
              <w:spacing w:after="0" w:line="240" w:lineRule="auto"/>
              <w:jc w:val="left"/>
            </w:pPr>
            <w:r/>
            <w:r>
              <w:rPr>
                <w:rFonts w:ascii="Aptos" w:hAnsi="Aptos"/>
                <w:b w:val="0"/>
                <w:color w:val="000000"/>
                <w:sz w:val="16"/>
              </w:rPr>
              <w:t>models/autoencoder.pt</w:t>
            </w:r>
          </w:p>
        </w:tc>
        <w:tc>
          <w:tcPr>
            <w:tcW w:type="dxa" w:w="5760"/>
            <w:vAlign w:val="center"/>
            <w:tcMar>
              <w:top w:w="90" w:type="dxa"/>
              <w:start w:w="95" w:type="dxa"/>
              <w:bottom w:w="90" w:type="dxa"/>
              <w:end w:w="95" w:type="dxa"/>
            </w:tcMar>
          </w:tcPr>
          <w:p>
            <w:pPr>
              <w:spacing w:after="0" w:line="240" w:lineRule="auto"/>
              <w:jc w:val="left"/>
            </w:pPr>
            <w:r/>
            <w:r>
              <w:rPr>
                <w:rFonts w:ascii="Aptos" w:hAnsi="Aptos"/>
                <w:b w:val="0"/>
                <w:color w:val="000000"/>
                <w:sz w:val="16"/>
              </w:rPr>
              <w:t>Autoencoder checkpoint</w:t>
            </w:r>
          </w:p>
        </w:tc>
      </w:tr>
      <w:tr>
        <w:tc>
          <w:tcPr>
            <w:tcW w:type="dxa" w:w="4320"/>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6"/>
              </w:rPr>
              <w:t>models/isolation_forest.joblib</w:t>
            </w:r>
          </w:p>
        </w:tc>
        <w:tc>
          <w:tcPr>
            <w:tcW w:type="dxa" w:w="5760"/>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6"/>
              </w:rPr>
              <w:t>Isolation Forest artifact</w:t>
            </w:r>
          </w:p>
        </w:tc>
      </w:tr>
      <w:tr>
        <w:tc>
          <w:tcPr>
            <w:tcW w:type="dxa" w:w="4320"/>
            <w:vAlign w:val="center"/>
            <w:tcMar>
              <w:top w:w="90" w:type="dxa"/>
              <w:start w:w="95" w:type="dxa"/>
              <w:bottom w:w="90" w:type="dxa"/>
              <w:end w:w="95" w:type="dxa"/>
            </w:tcMar>
          </w:tcPr>
          <w:p>
            <w:pPr>
              <w:spacing w:after="0" w:line="240" w:lineRule="auto"/>
              <w:jc w:val="left"/>
            </w:pPr>
            <w:r/>
            <w:r>
              <w:rPr>
                <w:rFonts w:ascii="Aptos" w:hAnsi="Aptos"/>
                <w:b w:val="0"/>
                <w:color w:val="000000"/>
                <w:sz w:val="16"/>
              </w:rPr>
              <w:t>models/sequence_gru.pt</w:t>
            </w:r>
          </w:p>
        </w:tc>
        <w:tc>
          <w:tcPr>
            <w:tcW w:type="dxa" w:w="5760"/>
            <w:vAlign w:val="center"/>
            <w:tcMar>
              <w:top w:w="90" w:type="dxa"/>
              <w:start w:w="95" w:type="dxa"/>
              <w:bottom w:w="90" w:type="dxa"/>
              <w:end w:w="95" w:type="dxa"/>
            </w:tcMar>
          </w:tcPr>
          <w:p>
            <w:pPr>
              <w:spacing w:after="0" w:line="240" w:lineRule="auto"/>
              <w:jc w:val="center"/>
            </w:pPr>
            <w:r/>
            <w:r>
              <w:rPr>
                <w:rFonts w:ascii="Aptos" w:hAnsi="Aptos"/>
                <w:b w:val="0"/>
                <w:color w:val="000000"/>
                <w:sz w:val="16"/>
              </w:rPr>
              <w:t>GRU checkpoint</w:t>
            </w:r>
          </w:p>
        </w:tc>
      </w:tr>
      <w:tr>
        <w:tc>
          <w:tcPr>
            <w:tcW w:type="dxa" w:w="4320"/>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6"/>
              </w:rPr>
              <w:t>outputs/*_metrics.json</w:t>
            </w:r>
          </w:p>
        </w:tc>
        <w:tc>
          <w:tcPr>
            <w:tcW w:type="dxa" w:w="5760"/>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6"/>
              </w:rPr>
              <w:t>Model evaluation evidence</w:t>
            </w:r>
          </w:p>
        </w:tc>
      </w:tr>
      <w:tr>
        <w:tc>
          <w:tcPr>
            <w:tcW w:type="dxa" w:w="4320"/>
            <w:vAlign w:val="center"/>
            <w:tcMar>
              <w:top w:w="90" w:type="dxa"/>
              <w:start w:w="95" w:type="dxa"/>
              <w:bottom w:w="90" w:type="dxa"/>
              <w:end w:w="95" w:type="dxa"/>
            </w:tcMar>
          </w:tcPr>
          <w:p>
            <w:pPr>
              <w:spacing w:after="0" w:line="240" w:lineRule="auto"/>
              <w:jc w:val="left"/>
            </w:pPr>
            <w:r/>
            <w:r>
              <w:rPr>
                <w:rFonts w:ascii="Aptos" w:hAnsi="Aptos"/>
                <w:b w:val="0"/>
                <w:color w:val="000000"/>
                <w:sz w:val="16"/>
              </w:rPr>
              <w:t>outputs/stream_alerts.jsonl</w:t>
            </w:r>
          </w:p>
        </w:tc>
        <w:tc>
          <w:tcPr>
            <w:tcW w:type="dxa" w:w="5760"/>
            <w:vAlign w:val="center"/>
            <w:tcMar>
              <w:top w:w="90" w:type="dxa"/>
              <w:start w:w="95" w:type="dxa"/>
              <w:bottom w:w="90" w:type="dxa"/>
              <w:end w:w="95" w:type="dxa"/>
            </w:tcMar>
          </w:tcPr>
          <w:p>
            <w:pPr>
              <w:spacing w:after="0" w:line="240" w:lineRule="auto"/>
              <w:jc w:val="left"/>
            </w:pPr>
            <w:r/>
            <w:r>
              <w:rPr>
                <w:rFonts w:ascii="Aptos" w:hAnsi="Aptos"/>
                <w:b w:val="0"/>
                <w:color w:val="000000"/>
                <w:sz w:val="16"/>
              </w:rPr>
              <w:t>384 fused alert records</w:t>
            </w:r>
          </w:p>
        </w:tc>
      </w:tr>
      <w:tr>
        <w:tc>
          <w:tcPr>
            <w:tcW w:type="dxa" w:w="4320"/>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6"/>
              </w:rPr>
              <w:t>outputs/fusion_summary.json</w:t>
            </w:r>
          </w:p>
        </w:tc>
        <w:tc>
          <w:tcPr>
            <w:tcW w:type="dxa" w:w="5760"/>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6"/>
              </w:rPr>
              <w:t>Risk formula and top alerts</w:t>
            </w:r>
          </w:p>
        </w:tc>
      </w:tr>
      <w:tr>
        <w:tc>
          <w:tcPr>
            <w:tcW w:type="dxa" w:w="4320"/>
            <w:vAlign w:val="center"/>
            <w:tcMar>
              <w:top w:w="90" w:type="dxa"/>
              <w:start w:w="95" w:type="dxa"/>
              <w:bottom w:w="90" w:type="dxa"/>
              <w:end w:w="95" w:type="dxa"/>
            </w:tcMar>
          </w:tcPr>
          <w:p>
            <w:pPr>
              <w:spacing w:after="0" w:line="240" w:lineRule="auto"/>
              <w:jc w:val="left"/>
            </w:pPr>
            <w:r/>
            <w:r>
              <w:rPr>
                <w:rFonts w:ascii="Aptos" w:hAnsi="Aptos"/>
                <w:b w:val="0"/>
                <w:color w:val="000000"/>
                <w:sz w:val="16"/>
              </w:rPr>
              <w:t>outputs/response_plan_lab_only.json</w:t>
            </w:r>
          </w:p>
        </w:tc>
        <w:tc>
          <w:tcPr>
            <w:tcW w:type="dxa" w:w="5760"/>
            <w:vAlign w:val="center"/>
            <w:tcMar>
              <w:top w:w="90" w:type="dxa"/>
              <w:start w:w="95" w:type="dxa"/>
              <w:bottom w:w="90" w:type="dxa"/>
              <w:end w:w="95" w:type="dxa"/>
            </w:tcMar>
          </w:tcPr>
          <w:p>
            <w:pPr>
              <w:spacing w:after="0" w:line="240" w:lineRule="auto"/>
              <w:jc w:val="left"/>
            </w:pPr>
            <w:r/>
            <w:r>
              <w:rPr>
                <w:rFonts w:ascii="Aptos" w:hAnsi="Aptos"/>
                <w:b w:val="0"/>
                <w:color w:val="000000"/>
                <w:sz w:val="16"/>
              </w:rPr>
              <w:t>Dry-run response recommendations</w:t>
            </w:r>
          </w:p>
        </w:tc>
      </w:tr>
      <w:tr>
        <w:tc>
          <w:tcPr>
            <w:tcW w:type="dxa" w:w="4320"/>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6"/>
              </w:rPr>
              <w:t>outputs/execution_log.txt</w:t>
            </w:r>
          </w:p>
        </w:tc>
        <w:tc>
          <w:tcPr>
            <w:tcW w:type="dxa" w:w="5760"/>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6"/>
              </w:rPr>
              <w:t>Versions, commands, timings, exit codes</w:t>
            </w:r>
          </w:p>
        </w:tc>
      </w:tr>
      <w:tr>
        <w:tc>
          <w:tcPr>
            <w:tcW w:type="dxa" w:w="4320"/>
            <w:vAlign w:val="center"/>
            <w:tcMar>
              <w:top w:w="90" w:type="dxa"/>
              <w:start w:w="95" w:type="dxa"/>
              <w:bottom w:w="90" w:type="dxa"/>
              <w:end w:w="95" w:type="dxa"/>
            </w:tcMar>
          </w:tcPr>
          <w:p>
            <w:pPr>
              <w:spacing w:after="0" w:line="240" w:lineRule="auto"/>
              <w:jc w:val="left"/>
            </w:pPr>
            <w:r/>
            <w:r>
              <w:rPr>
                <w:rFonts w:ascii="Aptos" w:hAnsi="Aptos"/>
                <w:b w:val="0"/>
                <w:color w:val="000000"/>
                <w:sz w:val="16"/>
              </w:rPr>
              <w:t>submission/defense_notes.md</w:t>
            </w:r>
          </w:p>
        </w:tc>
        <w:tc>
          <w:tcPr>
            <w:tcW w:type="dxa" w:w="5760"/>
            <w:vAlign w:val="center"/>
            <w:tcMar>
              <w:top w:w="90" w:type="dxa"/>
              <w:start w:w="95" w:type="dxa"/>
              <w:bottom w:w="90" w:type="dxa"/>
              <w:end w:w="95" w:type="dxa"/>
            </w:tcMar>
          </w:tcPr>
          <w:p>
            <w:pPr>
              <w:spacing w:after="0" w:line="240" w:lineRule="auto"/>
              <w:jc w:val="left"/>
            </w:pPr>
            <w:r/>
            <w:r>
              <w:rPr>
                <w:rFonts w:ascii="Aptos" w:hAnsi="Aptos"/>
                <w:b w:val="0"/>
                <w:color w:val="000000"/>
                <w:sz w:val="16"/>
              </w:rPr>
              <w:t>Oral defense preparation</w:t>
            </w:r>
          </w:p>
        </w:tc>
      </w:tr>
      <w:tr>
        <w:tc>
          <w:tcPr>
            <w:tcW w:type="dxa" w:w="4320"/>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6"/>
              </w:rPr>
              <w:t>submission/presentation_outline.md</w:t>
            </w:r>
          </w:p>
        </w:tc>
        <w:tc>
          <w:tcPr>
            <w:tcW w:type="dxa" w:w="5760"/>
            <w:shd w:fill="EAF0F8"/>
            <w:vAlign w:val="center"/>
            <w:tcMar>
              <w:top w:w="90" w:type="dxa"/>
              <w:start w:w="95" w:type="dxa"/>
              <w:bottom w:w="90" w:type="dxa"/>
              <w:end w:w="95" w:type="dxa"/>
            </w:tcMar>
          </w:tcPr>
          <w:p>
            <w:pPr>
              <w:spacing w:after="0" w:line="240" w:lineRule="auto"/>
              <w:jc w:val="left"/>
            </w:pPr>
            <w:r/>
            <w:r>
              <w:rPr>
                <w:rFonts w:ascii="Aptos" w:hAnsi="Aptos"/>
                <w:b w:val="0"/>
                <w:color w:val="000000"/>
                <w:sz w:val="16"/>
              </w:rPr>
              <w:t>Eleven-slide presentation structure</w:t>
            </w:r>
          </w:p>
        </w:tc>
      </w:tr>
    </w:tbl>
    <w:p>
      <w:pPr>
        <w:spacing w:after="40"/>
      </w:pPr>
    </w:p>
    <w:p>
      <w:r>
        <w:t>Evidence integrity: scripts/08_validate_deliverables.py confirms that required files exist, JSON and JSONL parse correctly, alert counts agree, risk components sum correctly, and every response remains dry-run with human approval.</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4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SentinelNet AI Defense Fabric Capstone Report</dc:title>
  <dc:subject>AICS-109 AI for Advanced Network Defense</dc:subject>
  <dc:creator>SentinelNet project team</dc:creator>
  <cp:keywords/>
  <dc:description>Generated from the reproducible final pipeline evidence.</dc:description>
  <cp:lastModifiedBy/>
  <cp:revision>1</cp:revision>
  <dcterms:created xsi:type="dcterms:W3CDTF">2013-12-23T23:15:00Z</dcterms:created>
  <dcterms:modified xsi:type="dcterms:W3CDTF">2013-12-23T23:15:00Z</dcterms:modified>
  <cp:category/>
</cp:coreProperties>
</file>