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100"/>
        <w:jc w:val="center"/>
      </w:pPr>
      <w:r>
        <w:rPr>
          <w:rFonts w:ascii="Times New Roman" w:cs="Times New Roman" w:eastAsia="Times New Roman" w:hAnsi="Times New Roman"/>
          <w:b/>
          <w:bCs/>
          <w:sz w:val="36"/>
          <w:szCs w:val="36"/>
        </w:rPr>
        <w:t xml:space="preserve">Real-Time Predictive Maintenance Using Apache Kafka,</w:t>
      </w:r>
    </w:p>
    <w:p>
      <w:pPr>
        <w:spacing w:after="100"/>
        <w:jc w:val="center"/>
      </w:pPr>
      <w:r>
        <w:rPr>
          <w:rFonts w:ascii="Times New Roman" w:cs="Times New Roman" w:eastAsia="Times New Roman" w:hAnsi="Times New Roman"/>
          <w:b/>
          <w:bCs/>
          <w:sz w:val="36"/>
          <w:szCs w:val="36"/>
        </w:rPr>
        <w:t xml:space="preserve">PySpark MLlib, and InfluxDB: A Big Data Pipeline</w:t>
      </w:r>
    </w:p>
    <w:p>
      <w:pPr>
        <w:spacing w:after="100"/>
        <w:jc w:val="center"/>
      </w:pPr>
      <w:r>
        <w:rPr>
          <w:rFonts w:ascii="Times New Roman" w:cs="Times New Roman" w:eastAsia="Times New Roman" w:hAnsi="Times New Roman"/>
          <w:b/>
          <w:bCs/>
          <w:sz w:val="36"/>
          <w:szCs w:val="36"/>
        </w:rPr>
        <w:t xml:space="preserve">Approach for Industrial IoT Applications</w:t>
      </w:r>
    </w:p>
    <w:p>
      <w:pPr>
        <w:spacing w:before="280"/>
      </w:pPr>
    </w:p>
    <w:p>
      <w:pPr>
        <w:spacing w:after="100"/>
        <w:jc w:val="center"/>
      </w:pPr>
      <w:r>
        <w:rPr>
          <w:rFonts w:ascii="Times New Roman" w:cs="Times New Roman" w:eastAsia="Times New Roman" w:hAnsi="Times New Roman"/>
          <w:i/>
          <w:iCs/>
          <w:sz w:val="22"/>
          <w:szCs w:val="22"/>
        </w:rPr>
        <w:t xml:space="preserve">May 2026</w:t>
      </w:r>
    </w:p>
    <w:p>
      <w:pPr>
        <w:spacing w:before="400"/>
      </w:pPr>
    </w:p>
    <w:p>
      <w:pPr>
        <w:spacing w:after="120"/>
        <w:jc w:val="center"/>
      </w:pPr>
      <w:r>
        <w:rPr>
          <w:rFonts w:ascii="Times New Roman" w:cs="Times New Roman" w:eastAsia="Times New Roman" w:hAnsi="Times New Roman"/>
          <w:b/>
          <w:bCs/>
          <w:sz w:val="24"/>
          <w:szCs w:val="24"/>
        </w:rPr>
        <w:t xml:space="preserve">Abstract</w:t>
      </w:r>
    </w:p>
    <w:p>
      <w:pPr>
        <w:spacing w:after="160"/>
        <w:ind w:left="720" w:right="720"/>
        <w:jc w:val="both"/>
      </w:pPr>
      <w:r>
        <w:rPr>
          <w:rFonts w:ascii="Times New Roman" w:cs="Times New Roman" w:eastAsia="Times New Roman" w:hAnsi="Times New Roman"/>
          <w:sz w:val="20"/>
          <w:szCs w:val="20"/>
        </w:rPr>
        <w:t xml:space="preserve">Industrial equipment failures cause significant downtime and financial losses across manufacturing, energy, and process industries. Traditional time-based maintenance schedules are often inefficient, either performing unnecessary maintenance or failing to prevent unexpected breakdowns. This paper presents a real-time predictive maintenance system that integrates Apache Kafka for event streaming, Apache Flink for stream processing, PySpark MLlib for machine learning, InfluxDB for time-series persistence, and Grafana for operational dashboards. The system monitors five simulated industrial machines across three sensor modalities — temperature, vibration, and hydraulic pressure — and predicts imminent equipment failures using a Random Forest classifier trained on 10,000 synthetic sensor history samples. The trained model achieved an AUC-ROC of 0.964 and an F1 Score of 0.942 on the held-out test set. Failure injection experiments confirmed that the system correctly identified critical machine states with 100% probability while maintaining near-zero false positive rates on healthy machines. The results demonstrate the feasibility of an open-source, containerised big data pipeline for industrial IoT predictive maintenance at scale.</w:t>
      </w:r>
    </w:p>
    <w:p>
      <w:pPr>
        <w:spacing w:after="200"/>
        <w:ind w:left="720" w:right="72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IoT, predictive maintenance, Apache Kafka, PySpark, machine learning, Random Forest, InfluxDB, Grafana, real-time analytics, big data.</w:t>
      </w:r>
    </w:p>
    <w:p>
      <w:pPr>
        <w:pBdr>
          <w:bottom w:val="single" w:color="333333" w:sz="4" w:space="6"/>
        </w:pBdr>
        <w:spacing w:after="300"/>
      </w:pPr>
    </w:p>
    <w:p>
      <w:pPr>
        <w:pStyle w:val="Heading1"/>
        <w:pBdr>
          <w:bottom w:val="single" w:color="333333" w:sz="2" w:space="4"/>
        </w:pBdr>
        <w:spacing w:after="180" w:before="360"/>
      </w:pPr>
      <w:r>
        <w:rPr>
          <w:rFonts w:ascii="Times New Roman" w:cs="Times New Roman" w:eastAsia="Times New Roman" w:hAnsi="Times New Roman"/>
          <w:b/>
          <w:bCs/>
          <w:caps/>
          <w:sz w:val="28"/>
          <w:szCs w:val="28"/>
        </w:rPr>
        <w:t xml:space="preserve">1. Introduction</w:t>
      </w:r>
    </w:p>
    <w:p>
      <w:pPr>
        <w:spacing w:after="160"/>
        <w:ind w:firstLine="440"/>
        <w:jc w:val="both"/>
      </w:pPr>
      <w:r>
        <w:rPr>
          <w:rFonts w:ascii="Times New Roman" w:cs="Times New Roman" w:eastAsia="Times New Roman" w:hAnsi="Times New Roman"/>
          <w:sz w:val="22"/>
          <w:szCs w:val="22"/>
        </w:rPr>
        <w:t xml:space="preserve">The Industrial Internet of Things (IIoT) is fundamentally transforming how organisations monitor, manage, and maintain physical assets. Embedded sensors continuously generate high-frequency time-series data that — when properly analysed — can reveal early signatures of mechanical degradation before catastrophic failure occurs [1]. However, exploiting this data requires robust, scalable architectures capable of ingesting, processing, and scoring sensor streams with latencies measured in milliseconds.</w:t>
      </w:r>
    </w:p>
    <w:p>
      <w:pPr>
        <w:spacing w:after="160"/>
        <w:ind w:firstLine="440"/>
        <w:jc w:val="both"/>
      </w:pPr>
      <w:r>
        <w:rPr>
          <w:rFonts w:ascii="Times New Roman" w:cs="Times New Roman" w:eastAsia="Times New Roman" w:hAnsi="Times New Roman"/>
          <w:sz w:val="22"/>
          <w:szCs w:val="22"/>
        </w:rPr>
        <w:t xml:space="preserve">Unplanned equipment failures account for an estimated $50 billion in costs per year across the manufacturing sector [2], driven by production downtime, emergency repair costs, and safety incidents. Predictive maintenance (PdM) — which uses data-driven models to predict the Remaining Useful Life (RUL) or failure probability of equipment — offers a compelling alternative to both reactive (fix-on-failure) and preventive (time-based) maintenance strategies.</w:t>
      </w:r>
    </w:p>
    <w:p>
      <w:pPr>
        <w:spacing w:after="160"/>
        <w:ind w:firstLine="440"/>
        <w:jc w:val="both"/>
      </w:pPr>
      <w:r>
        <w:rPr>
          <w:rFonts w:ascii="Times New Roman" w:cs="Times New Roman" w:eastAsia="Times New Roman" w:hAnsi="Times New Roman"/>
          <w:sz w:val="22"/>
          <w:szCs w:val="22"/>
        </w:rPr>
        <w:t xml:space="preserve">Recent advances in open-source stream processing frameworks (Apache Kafka, Apache Flink), distributed machine learning platforms (PySpark MLlib), and purpose-built time-series databases (InfluxDB) have lowered the barrier to constructing production-grade PdM pipelines. Nevertheless, integrating these heterogeneous technologies into a cohesive, containerised system remains a non-trivial engineering challenge.</w:t>
      </w:r>
    </w:p>
    <w:p>
      <w:pPr>
        <w:spacing w:after="160"/>
        <w:ind w:firstLine="440"/>
        <w:jc w:val="both"/>
      </w:pPr>
      <w:r>
        <w:rPr>
          <w:rFonts w:ascii="Times New Roman" w:cs="Times New Roman" w:eastAsia="Times New Roman" w:hAnsi="Times New Roman"/>
          <w:sz w:val="22"/>
          <w:szCs w:val="22"/>
        </w:rPr>
        <w:t xml:space="preserve">This paper makes the following contributions:</w:t>
      </w:r>
    </w:p>
    <w:p>
      <w:pPr>
        <w:pStyle w:val="ListParagraph"/>
        <w:numPr>
          <w:ilvl w:val="0"/>
          <w:numId w:val="2"/>
        </w:numPr>
        <w:spacing w:after="80"/>
      </w:pPr>
      <w:r>
        <w:rPr>
          <w:rFonts w:ascii="Times New Roman" w:cs="Times New Roman" w:eastAsia="Times New Roman" w:hAnsi="Times New Roman"/>
          <w:sz w:val="22"/>
          <w:szCs w:val="22"/>
        </w:rPr>
        <w:t xml:space="preserve">A reference architecture for a real-time IoT predictive maintenance pipeline using fully open-source components.</w:t>
      </w:r>
    </w:p>
    <w:p>
      <w:pPr>
        <w:pStyle w:val="ListParagraph"/>
        <w:numPr>
          <w:ilvl w:val="0"/>
          <w:numId w:val="2"/>
        </w:numPr>
        <w:spacing w:after="80"/>
      </w:pPr>
      <w:r>
        <w:rPr>
          <w:rFonts w:ascii="Times New Roman" w:cs="Times New Roman" w:eastAsia="Times New Roman" w:hAnsi="Times New Roman"/>
          <w:sz w:val="22"/>
          <w:szCs w:val="22"/>
        </w:rPr>
        <w:t xml:space="preserve">A synthetic sensor data generation methodology that realistically models machine degradation through three operational states.</w:t>
      </w:r>
    </w:p>
    <w:p>
      <w:pPr>
        <w:pStyle w:val="ListParagraph"/>
        <w:numPr>
          <w:ilvl w:val="0"/>
          <w:numId w:val="2"/>
        </w:numPr>
        <w:spacing w:after="80"/>
      </w:pPr>
      <w:r>
        <w:rPr>
          <w:rFonts w:ascii="Times New Roman" w:cs="Times New Roman" w:eastAsia="Times New Roman" w:hAnsi="Times New Roman"/>
          <w:sz w:val="22"/>
          <w:szCs w:val="22"/>
        </w:rPr>
        <w:t xml:space="preserve">A PySpark MLlib Random Forest pipeline with feature engineering from rolling sensor windows, achieving AUC-ROC 0.964.</w:t>
      </w:r>
    </w:p>
    <w:p>
      <w:pPr>
        <w:pStyle w:val="ListParagraph"/>
        <w:numPr>
          <w:ilvl w:val="0"/>
          <w:numId w:val="2"/>
        </w:numPr>
        <w:spacing w:after="80"/>
      </w:pPr>
      <w:r>
        <w:rPr>
          <w:rFonts w:ascii="Times New Roman" w:cs="Times New Roman" w:eastAsia="Times New Roman" w:hAnsi="Times New Roman"/>
          <w:sz w:val="22"/>
          <w:szCs w:val="22"/>
        </w:rPr>
        <w:t xml:space="preserve">Empirical validation through controlled failure injection, demonstrating 100% failure detection with near-zero false positives.</w:t>
      </w:r>
    </w:p>
    <w:p>
      <w:pPr>
        <w:spacing w:after="160"/>
        <w:ind w:firstLine="440"/>
        <w:jc w:val="both"/>
      </w:pPr>
      <w:r>
        <w:rPr>
          <w:rFonts w:ascii="Times New Roman" w:cs="Times New Roman" w:eastAsia="Times New Roman" w:hAnsi="Times New Roman"/>
          <w:sz w:val="22"/>
          <w:szCs w:val="22"/>
        </w:rPr>
        <w:t xml:space="preserve">The remainder of the paper is structured as follows: Section 2 reviews related work; Section 3 describes the system architecture; Section 4 details the machine learning methodology; Section 5 reports experimental results; Section 6 discusses implications and future work; Section 7 concludes.</w:t>
      </w:r>
    </w:p>
    <w:p>
      <w:r>
        <w:br w:type="page"/>
      </w:r>
    </w:p>
    <w:p>
      <w:pPr>
        <w:pStyle w:val="Heading1"/>
        <w:pBdr>
          <w:bottom w:val="single" w:color="333333" w:sz="2" w:space="4"/>
        </w:pBdr>
        <w:spacing w:after="180" w:before="360"/>
      </w:pPr>
      <w:r>
        <w:rPr>
          <w:rFonts w:ascii="Times New Roman" w:cs="Times New Roman" w:eastAsia="Times New Roman" w:hAnsi="Times New Roman"/>
          <w:b/>
          <w:bCs/>
          <w:caps/>
          <w:sz w:val="28"/>
          <w:szCs w:val="28"/>
        </w:rPr>
        <w:t xml:space="preserve">2. Related Work</w:t>
      </w:r>
    </w:p>
    <w:p>
      <w:pPr>
        <w:pStyle w:val="Heading2"/>
        <w:spacing w:after="120" w:before="240"/>
      </w:pPr>
      <w:r>
        <w:rPr>
          <w:rFonts w:ascii="Times New Roman" w:cs="Times New Roman" w:eastAsia="Times New Roman" w:hAnsi="Times New Roman"/>
          <w:b/>
          <w:bCs/>
          <w:sz w:val="24"/>
          <w:szCs w:val="24"/>
        </w:rPr>
        <w:t xml:space="preserve">2.1 Predictive Maintenance and Machine Learning</w:t>
      </w:r>
    </w:p>
    <w:p>
      <w:pPr>
        <w:spacing w:after="160"/>
        <w:ind w:firstLine="440"/>
        <w:jc w:val="both"/>
      </w:pPr>
      <w:r>
        <w:rPr>
          <w:rFonts w:ascii="Times New Roman" w:cs="Times New Roman" w:eastAsia="Times New Roman" w:hAnsi="Times New Roman"/>
          <w:sz w:val="22"/>
          <w:szCs w:val="22"/>
        </w:rPr>
        <w:t xml:space="preserve">Predictive maintenance using machine learning has been extensively studied. Mobley [3] established the foundational case for condition-based monitoring, demonstrating that sensor-derived features can predict failure modes across rotating machinery. More recently, deep learning approaches — particularly Long Short-Term Memory (LSTM) networks — have shown promise for multivariate time-series anomaly detection [4]. However, classical ensemble methods such as Random Forests remain competitive for tabular feature sets and offer superior interpretability and inference speed, making them well-suited for real-time scoring services [5].</w:t>
      </w:r>
    </w:p>
    <w:p>
      <w:pPr>
        <w:pStyle w:val="Heading2"/>
        <w:spacing w:after="120" w:before="240"/>
      </w:pPr>
      <w:r>
        <w:rPr>
          <w:rFonts w:ascii="Times New Roman" w:cs="Times New Roman" w:eastAsia="Times New Roman" w:hAnsi="Times New Roman"/>
          <w:b/>
          <w:bCs/>
          <w:sz w:val="24"/>
          <w:szCs w:val="24"/>
        </w:rPr>
        <w:t xml:space="preserve">2.2 Stream Processing for IoT</w:t>
      </w:r>
    </w:p>
    <w:p>
      <w:pPr>
        <w:spacing w:after="160"/>
        <w:ind w:firstLine="440"/>
        <w:jc w:val="both"/>
      </w:pPr>
      <w:r>
        <w:rPr>
          <w:rFonts w:ascii="Times New Roman" w:cs="Times New Roman" w:eastAsia="Times New Roman" w:hAnsi="Times New Roman"/>
          <w:sz w:val="22"/>
          <w:szCs w:val="22"/>
        </w:rPr>
        <w:t xml:space="preserve">Apache Kafka has emerged as the de facto standard for high-throughput IoT event streaming, with Confluent's managed platform supporting billions of messages per day at major enterprises [6]. Apache Flink extends Kafka's capabilities with stateful stream processing, supporting event-time windowing and exactly-once semantics that are critical for financial and industrial applications [7]. Alternatives such as Apache Spark Streaming and AWS Kinesis have been compared in the literature; Flink's native streaming model (versus Spark's micro-batch approach) generally provides lower end-to-end latency [8].</w:t>
      </w:r>
    </w:p>
    <w:p>
      <w:pPr>
        <w:pStyle w:val="Heading2"/>
        <w:spacing w:after="120" w:before="240"/>
      </w:pPr>
      <w:r>
        <w:rPr>
          <w:rFonts w:ascii="Times New Roman" w:cs="Times New Roman" w:eastAsia="Times New Roman" w:hAnsi="Times New Roman"/>
          <w:b/>
          <w:bCs/>
          <w:sz w:val="24"/>
          <w:szCs w:val="24"/>
        </w:rPr>
        <w:t xml:space="preserve">2.3 Time-Series Databases</w:t>
      </w:r>
    </w:p>
    <w:p>
      <w:pPr>
        <w:spacing w:after="160"/>
        <w:ind w:firstLine="440"/>
        <w:jc w:val="both"/>
      </w:pPr>
      <w:r>
        <w:rPr>
          <w:rFonts w:ascii="Times New Roman" w:cs="Times New Roman" w:eastAsia="Times New Roman" w:hAnsi="Times New Roman"/>
          <w:sz w:val="22"/>
          <w:szCs w:val="22"/>
        </w:rPr>
        <w:t xml:space="preserve">InfluxDB has consistently ranked among the top time-series database solutions due to its native columnar storage engine (TSM), efficient compression of float and integer series, and expressive Flux query language [9]. For IoT workloads generating millions of data points per day, InfluxDB's automatic data lifecycle management (retention policies and continuous queries) provides significant operational advantages over general-purpose relational databases.</w:t>
      </w:r>
    </w:p>
    <w:p>
      <w:pPr>
        <w:pStyle w:val="Heading2"/>
        <w:spacing w:after="120" w:before="240"/>
      </w:pPr>
      <w:r>
        <w:rPr>
          <w:rFonts w:ascii="Times New Roman" w:cs="Times New Roman" w:eastAsia="Times New Roman" w:hAnsi="Times New Roman"/>
          <w:b/>
          <w:bCs/>
          <w:sz w:val="24"/>
          <w:szCs w:val="24"/>
        </w:rPr>
        <w:t xml:space="preserve">2.4 Gap Analysis</w:t>
      </w:r>
    </w:p>
    <w:p>
      <w:pPr>
        <w:spacing w:after="160"/>
        <w:ind w:firstLine="440"/>
        <w:jc w:val="both"/>
      </w:pPr>
      <w:r>
        <w:rPr>
          <w:rFonts w:ascii="Times New Roman" w:cs="Times New Roman" w:eastAsia="Times New Roman" w:hAnsi="Times New Roman"/>
          <w:sz w:val="22"/>
          <w:szCs w:val="22"/>
        </w:rPr>
        <w:t xml:space="preserve">While individual components have been studied extensively, few papers provide an integrated end-to-end reference implementation that combines Kafka-based ingestion, window-based feature extraction, PySpark ML scoring, InfluxDB persistence, and Grafana visualisation in a fully containerised deployment. This work addresses that gap by documenting both the architectural decisions and quantitative performance of such an integrated system.</w:t>
      </w:r>
    </w:p>
    <w:p>
      <w:r>
        <w:br w:type="page"/>
      </w:r>
    </w:p>
    <w:p>
      <w:pPr>
        <w:pStyle w:val="Heading1"/>
        <w:pBdr>
          <w:bottom w:val="single" w:color="333333" w:sz="2" w:space="4"/>
        </w:pBdr>
        <w:spacing w:after="180" w:before="360"/>
      </w:pPr>
      <w:r>
        <w:rPr>
          <w:rFonts w:ascii="Times New Roman" w:cs="Times New Roman" w:eastAsia="Times New Roman" w:hAnsi="Times New Roman"/>
          <w:b/>
          <w:bCs/>
          <w:caps/>
          <w:sz w:val="28"/>
          <w:szCs w:val="28"/>
        </w:rPr>
        <w:t xml:space="preserve">3. System Architecture</w:t>
      </w:r>
    </w:p>
    <w:p>
      <w:pPr>
        <w:pStyle w:val="Heading2"/>
        <w:spacing w:after="120" w:before="240"/>
      </w:pPr>
      <w:r>
        <w:rPr>
          <w:rFonts w:ascii="Times New Roman" w:cs="Times New Roman" w:eastAsia="Times New Roman" w:hAnsi="Times New Roman"/>
          <w:b/>
          <w:bCs/>
          <w:sz w:val="24"/>
          <w:szCs w:val="24"/>
        </w:rPr>
        <w:t xml:space="preserve">3.1 Architectural Overview</w:t>
      </w:r>
    </w:p>
    <w:p>
      <w:pPr>
        <w:spacing w:after="160"/>
        <w:ind w:firstLine="440"/>
        <w:jc w:val="both"/>
      </w:pPr>
      <w:r>
        <w:rPr>
          <w:rFonts w:ascii="Times New Roman" w:cs="Times New Roman" w:eastAsia="Times New Roman" w:hAnsi="Times New Roman"/>
          <w:sz w:val="22"/>
          <w:szCs w:val="22"/>
        </w:rPr>
        <w:t xml:space="preserve">The proposed system follows a five-layer Lambda-inspired architecture, adapted for pure streaming (no batch layer):</w:t>
      </w:r>
    </w:p>
    <w:p>
      <w:pPr>
        <w:spacing w:after="160"/>
        <w:jc w:val="both"/>
      </w:pPr>
      <w:r>
        <w:rPr>
          <w:rFonts w:ascii="Times New Roman" w:cs="Times New Roman" w:eastAsia="Times New Roman" w:hAnsi="Times New Roman"/>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000"/>
      </w:tblGrid>
      <w:tr>
        <w:trPr>
          <w:tblHeader/>
        </w:trPr>
        <w:tc>
          <w:tcPr>
            <w:tcW w:type="dxa" w:w="16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Layer</w:t>
            </w:r>
          </w:p>
        </w:tc>
        <w:tc>
          <w:tcPr>
            <w:tcW w:type="dxa" w:w="28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Components</w:t>
            </w:r>
          </w:p>
        </w:tc>
        <w:tc>
          <w:tcPr>
            <w:tcW w:type="dxa" w:w="50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Responsibility</w:t>
            </w:r>
          </w:p>
        </w:tc>
      </w:tr>
      <w:tr>
        <w:tc>
          <w:tcPr>
            <w:tcW w:type="dxa" w:w="1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Ingestion</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Sensor Simulator, Apache Kafka</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Capture and buffer sensor events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Processing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Apache Flink, Alert Consumer</w:t>
            </w:r>
          </w:p>
        </w:tc>
        <w:tc>
          <w:tcPr>
            <w:tcW w:type="dxa" w:w="5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Window aggregation and feature extraction</w:t>
            </w:r>
          </w:p>
        </w:tc>
      </w:tr>
      <w:tr>
        <w:tc>
          <w:tcPr>
            <w:tcW w:type="dxa" w:w="1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Scoring</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Flask REST API, PySpark MLlib</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Real-time failure probability inference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Storage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InfluxDB 2.7</w:t>
            </w:r>
          </w:p>
        </w:tc>
        <w:tc>
          <w:tcPr>
            <w:tcW w:type="dxa" w:w="5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Time-series persistence and retention</w:t>
            </w:r>
          </w:p>
        </w:tc>
      </w:tr>
      <w:tr>
        <w:tc>
          <w:tcPr>
            <w:tcW w:type="dxa" w:w="1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Visualisation</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Grafana 10.2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Operational dashboards and alerting</w:t>
            </w:r>
          </w:p>
        </w:tc>
      </w:tr>
    </w:tbl>
    <w:p>
      <w:pPr>
        <w:spacing w:before="160"/>
      </w:pPr>
    </w:p>
    <w:p>
      <w:pPr>
        <w:spacing w:after="160"/>
        <w:ind w:firstLine="440"/>
        <w:jc w:val="both"/>
      </w:pPr>
      <w:r>
        <w:rPr>
          <w:rFonts w:ascii="Times New Roman" w:cs="Times New Roman" w:eastAsia="Times New Roman" w:hAnsi="Times New Roman"/>
          <w:sz w:val="22"/>
          <w:szCs w:val="22"/>
        </w:rPr>
        <w:t xml:space="preserve">All components are containerised using Docker Compose and communicate over a shared bridge network (iot-net), enabling hostname-based service discovery without external DNS.</w:t>
      </w:r>
    </w:p>
    <w:p>
      <w:pPr>
        <w:pStyle w:val="Heading2"/>
        <w:spacing w:after="120" w:before="240"/>
      </w:pPr>
      <w:r>
        <w:rPr>
          <w:rFonts w:ascii="Times New Roman" w:cs="Times New Roman" w:eastAsia="Times New Roman" w:hAnsi="Times New Roman"/>
          <w:b/>
          <w:bCs/>
          <w:sz w:val="24"/>
          <w:szCs w:val="24"/>
        </w:rPr>
        <w:t xml:space="preserve">3.2 Data Ingestion</w:t>
      </w:r>
    </w:p>
    <w:p>
      <w:pPr>
        <w:spacing w:after="160"/>
        <w:ind w:firstLine="440"/>
        <w:jc w:val="both"/>
      </w:pPr>
      <w:r>
        <w:rPr>
          <w:rFonts w:ascii="Times New Roman" w:cs="Times New Roman" w:eastAsia="Times New Roman" w:hAnsi="Times New Roman"/>
          <w:sz w:val="22"/>
          <w:szCs w:val="22"/>
        </w:rPr>
        <w:t xml:space="preserve">The sensor simulator models five industrial machines (M001–M005), each equipped with temperature, vibration, and hydraulic pressure sensors. Readings are generated at 500ms intervals and published to dedicated Kafka topics (sensor-temperature, sensor-vibration, sensor-pressure), each configured with three partitions to support parallel consumption. Machine states transition probabilistically — every 200 cycles, a machine degrades with probability 0.15 or recovers with probability 0.10, capturing realistic wear-and-maintenance cycles.</w:t>
      </w:r>
    </w:p>
    <w:p>
      <w:pPr>
        <w:pStyle w:val="Heading2"/>
        <w:spacing w:after="120" w:before="240"/>
      </w:pPr>
      <w:r>
        <w:rPr>
          <w:rFonts w:ascii="Times New Roman" w:cs="Times New Roman" w:eastAsia="Times New Roman" w:hAnsi="Times New Roman"/>
          <w:b/>
          <w:bCs/>
          <w:sz w:val="24"/>
          <w:szCs w:val="24"/>
        </w:rPr>
        <w:t xml:space="preserve">3.3 Stream Processing and Feature Extraction</w:t>
      </w:r>
    </w:p>
    <w:p>
      <w:pPr>
        <w:spacing w:after="160"/>
        <w:ind w:firstLine="440"/>
        <w:jc w:val="both"/>
      </w:pPr>
      <w:r>
        <w:rPr>
          <w:rFonts w:ascii="Times New Roman" w:cs="Times New Roman" w:eastAsia="Times New Roman" w:hAnsi="Times New Roman"/>
          <w:sz w:val="22"/>
          <w:szCs w:val="22"/>
        </w:rPr>
        <w:t xml:space="preserve">The alert consumer maintains a 60-reading sliding window per machine per sensor. Upon accumulating sufficient readings, it computes eight statistical features (Table 1) that serve as inputs to the ML model. This windowing approach filters transient noise while preserving genuine trend signals.</w:t>
      </w:r>
    </w:p>
    <w:p>
      <w:pPr>
        <w:pStyle w:val="Heading2"/>
        <w:spacing w:after="120" w:before="240"/>
      </w:pPr>
      <w:r>
        <w:rPr>
          <w:rFonts w:ascii="Times New Roman" w:cs="Times New Roman" w:eastAsia="Times New Roman" w:hAnsi="Times New Roman"/>
          <w:b/>
          <w:bCs/>
          <w:sz w:val="24"/>
          <w:szCs w:val="24"/>
        </w:rPr>
        <w:t xml:space="preserve">3.4 Scoring Service</w:t>
      </w:r>
    </w:p>
    <w:p>
      <w:pPr>
        <w:spacing w:after="160"/>
        <w:ind w:firstLine="440"/>
        <w:jc w:val="both"/>
      </w:pPr>
      <w:r>
        <w:rPr>
          <w:rFonts w:ascii="Times New Roman" w:cs="Times New Roman" w:eastAsia="Times New Roman" w:hAnsi="Times New Roman"/>
          <w:sz w:val="22"/>
          <w:szCs w:val="22"/>
        </w:rPr>
        <w:t xml:space="preserve">The scoring service is implemented as a Flask REST API that loads a serialised PySpark PipelineModel (VectorAssembler + StandardScaler + RandomForestClassifier) at startup. The /predict endpoint accepts a JSON payload containing the eight window features and returns a failure probability and alert flag. An alert is triggered when the failure probability exceeds the configured threshold of 0.75.</w:t>
      </w:r>
    </w:p>
    <w:p>
      <w:pPr>
        <w:pStyle w:val="Heading2"/>
        <w:spacing w:after="120" w:before="240"/>
      </w:pPr>
      <w:r>
        <w:rPr>
          <w:rFonts w:ascii="Times New Roman" w:cs="Times New Roman" w:eastAsia="Times New Roman" w:hAnsi="Times New Roman"/>
          <w:b/>
          <w:bCs/>
          <w:sz w:val="24"/>
          <w:szCs w:val="24"/>
        </w:rPr>
        <w:t xml:space="preserve">3.5 Infrastructure Configuration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000"/>
        <w:gridCol w:w="3400"/>
      </w:tblGrid>
      <w:tr>
        <w:trPr>
          <w:tblHeader/>
        </w:trPr>
        <w:tc>
          <w:tcPr>
            <w:tcW w:type="dxa" w:w="2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Service</w:t>
            </w:r>
          </w:p>
        </w:tc>
        <w:tc>
          <w:tcPr>
            <w:tcW w:type="dxa" w:w="28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Image</w:t>
            </w:r>
          </w:p>
        </w:tc>
        <w:tc>
          <w:tcPr>
            <w:tcW w:type="dxa" w:w="10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Port</w:t>
            </w:r>
          </w:p>
        </w:tc>
        <w:tc>
          <w:tcPr>
            <w:tcW w:type="dxa" w:w="34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Role</w:t>
            </w:r>
          </w:p>
        </w:tc>
      </w:tr>
      <w:tr>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Apache Zookeeper</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confluentinc/cp-zookeeper:7.4.0</w:t>
            </w:r>
          </w:p>
        </w:tc>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2181</w:t>
            </w:r>
          </w:p>
        </w:tc>
        <w:tc>
          <w:tcPr>
            <w:tcW w:type="dxa" w:w="3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Kafka cluster coordination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Apache Kafka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confluentinc/cp-kafka:7.4.0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9092</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Event streaming broker</w:t>
            </w:r>
          </w:p>
        </w:tc>
      </w:tr>
      <w:tr>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Apache Flink JobManager</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flink:1.17-scala_2.12</w:t>
            </w:r>
          </w:p>
        </w:tc>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8081</w:t>
            </w:r>
          </w:p>
        </w:tc>
        <w:tc>
          <w:tcPr>
            <w:tcW w:type="dxa" w:w="3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Flink cluster management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Apache Flink TaskManager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flink:1.17-scala_2.12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Flink task execution</w:t>
            </w:r>
          </w:p>
        </w:tc>
      </w:tr>
      <w:tr>
        <w:tc>
          <w:tcPr>
            <w:tcW w:type="dxa" w:w="2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InfluxDB</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influxdb:2.7</w:t>
            </w:r>
          </w:p>
        </w:tc>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8086</w:t>
            </w:r>
          </w:p>
        </w:tc>
        <w:tc>
          <w:tcPr>
            <w:tcW w:type="dxa" w:w="34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Time-series database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Grafana</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grafana/grafana:10.2.0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3000</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Visualisation dashboards</w:t>
            </w:r>
          </w:p>
        </w:tc>
      </w:tr>
    </w:tbl>
    <w:p>
      <w:r>
        <w:br w:type="page"/>
      </w:r>
    </w:p>
    <w:p>
      <w:pPr>
        <w:pStyle w:val="Heading1"/>
        <w:pBdr>
          <w:bottom w:val="single" w:color="333333" w:sz="2" w:space="4"/>
        </w:pBdr>
        <w:spacing w:after="180" w:before="360"/>
      </w:pPr>
      <w:r>
        <w:rPr>
          <w:rFonts w:ascii="Times New Roman" w:cs="Times New Roman" w:eastAsia="Times New Roman" w:hAnsi="Times New Roman"/>
          <w:b/>
          <w:bCs/>
          <w:caps/>
          <w:sz w:val="28"/>
          <w:szCs w:val="28"/>
        </w:rPr>
        <w:t xml:space="preserve">4. Machine Learning Methodology</w:t>
      </w:r>
    </w:p>
    <w:p>
      <w:pPr>
        <w:pStyle w:val="Heading2"/>
        <w:spacing w:after="120" w:before="240"/>
      </w:pPr>
      <w:r>
        <w:rPr>
          <w:rFonts w:ascii="Times New Roman" w:cs="Times New Roman" w:eastAsia="Times New Roman" w:hAnsi="Times New Roman"/>
          <w:b/>
          <w:bCs/>
          <w:sz w:val="24"/>
          <w:szCs w:val="24"/>
        </w:rPr>
        <w:t xml:space="preserve">4.1 Data Generation</w:t>
      </w:r>
    </w:p>
    <w:p>
      <w:pPr>
        <w:spacing w:after="160"/>
        <w:ind w:firstLine="440"/>
        <w:jc w:val="both"/>
      </w:pPr>
      <w:r>
        <w:rPr>
          <w:rFonts w:ascii="Times New Roman" w:cs="Times New Roman" w:eastAsia="Times New Roman" w:hAnsi="Times New Roman"/>
          <w:sz w:val="22"/>
          <w:szCs w:val="22"/>
        </w:rPr>
        <w:t xml:space="preserve">A synthetic dataset of 10,000 samples was generated to reflect realistic industrial sensor distributions. Three machine states were modelled: Normal (state 0, 70% of records), Warning (state 1, 20%), and Critical (state 2, 10%). Sensor readings were scaled by state-dependent degradation factors (1.0×, 1.2×, 1.5× respectively) with additive Gaussian noise. Failure labels were assigned deterministically for critical states and with 25% probability for warning states, yielding an overall positive-class rate of approximately 15% — consistent with the class imbalance typical in industrial fault datasets.</w:t>
      </w:r>
    </w:p>
    <w:p>
      <w:pPr>
        <w:pStyle w:val="Heading2"/>
        <w:spacing w:after="120" w:before="240"/>
      </w:pPr>
      <w:r>
        <w:rPr>
          <w:rFonts w:ascii="Times New Roman" w:cs="Times New Roman" w:eastAsia="Times New Roman" w:hAnsi="Times New Roman"/>
          <w:b/>
          <w:bCs/>
          <w:sz w:val="24"/>
          <w:szCs w:val="24"/>
        </w:rPr>
        <w:t xml:space="preserve">4.2 Feature Engineering</w:t>
      </w:r>
    </w:p>
    <w:p>
      <w:pPr>
        <w:spacing w:after="160"/>
        <w:ind w:firstLine="440"/>
        <w:jc w:val="both"/>
      </w:pPr>
      <w:r>
        <w:rPr>
          <w:rFonts w:ascii="Times New Roman" w:cs="Times New Roman" w:eastAsia="Times New Roman" w:hAnsi="Times New Roman"/>
          <w:sz w:val="22"/>
          <w:szCs w:val="22"/>
        </w:rPr>
        <w:t xml:space="preserve">Eight features were derived from 60-reading rolling windows. These capture instantaneous signal magnitude (avg, max), distributional spread (std), temporal trends (temp_trend), and discrete event counts (spike_count). The feature set is summarised in Table 2.</w:t>
      </w:r>
    </w:p>
    <w:p>
      <w:pPr>
        <w:spacing w:after="120"/>
      </w:pPr>
    </w:p>
    <w:p>
      <w:pPr>
        <w:spacing w:after="120"/>
        <w:jc w:val="center"/>
      </w:pPr>
      <w:r>
        <w:rPr>
          <w:rFonts w:ascii="Times New Roman" w:cs="Times New Roman" w:eastAsia="Times New Roman" w:hAnsi="Times New Roman"/>
          <w:b/>
          <w:bCs/>
          <w:i/>
          <w:iCs/>
          <w:sz w:val="20"/>
          <w:szCs w:val="20"/>
        </w:rPr>
        <w:t xml:space="preserve">Table 2. Feature Definitions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800"/>
      </w:tblGrid>
      <w:tr>
        <w:trPr>
          <w:tblHeader/>
        </w:trPr>
        <w:tc>
          <w:tcPr>
            <w:tcW w:type="dxa" w:w="20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Feature</w:t>
            </w:r>
          </w:p>
        </w:tc>
        <w:tc>
          <w:tcPr>
            <w:tcW w:type="dxa" w:w="38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Formula / Definition</w:t>
            </w:r>
          </w:p>
        </w:tc>
        <w:tc>
          <w:tcPr>
            <w:tcW w:type="dxa" w:w="18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Sensor</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avg_temp</w:t>
            </w:r>
          </w:p>
        </w:tc>
        <w:tc>
          <w:tcPr>
            <w:tcW w:type="dxa" w:w="3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mean(temp[t-59 : t])</w:t>
            </w:r>
          </w:p>
        </w:tc>
        <w:tc>
          <w:tcPr>
            <w:tcW w:type="dxa" w:w="1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Temperature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max_temp</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max(temp[t-59 : 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Temperature</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avg_vibration</w:t>
            </w:r>
          </w:p>
        </w:tc>
        <w:tc>
          <w:tcPr>
            <w:tcW w:type="dxa" w:w="3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mean(vib[t-59 : t])</w:t>
            </w:r>
          </w:p>
        </w:tc>
        <w:tc>
          <w:tcPr>
            <w:tcW w:type="dxa" w:w="1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Vibration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max_vibration</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max(vib[t-59 : 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Vibration</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avg_pressure</w:t>
            </w:r>
          </w:p>
        </w:tc>
        <w:tc>
          <w:tcPr>
            <w:tcW w:type="dxa" w:w="3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mean(press[t-59 : t])</w:t>
            </w:r>
          </w:p>
        </w:tc>
        <w:tc>
          <w:tcPr>
            <w:tcW w:type="dxa" w:w="1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Pressure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pressure_std</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stdev(press[t-59 : 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Pressure</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temp_trend</w:t>
            </w:r>
          </w:p>
        </w:tc>
        <w:tc>
          <w:tcPr>
            <w:tcW w:type="dxa" w:w="3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(temp[t] − temp[t−59]) / 60</w:t>
            </w:r>
          </w:p>
        </w:tc>
        <w:tc>
          <w:tcPr>
            <w:tcW w:type="dxa" w:w="1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Temperature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spike_count</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count(vib[i] &gt; 0.55g)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Vibration</w:t>
            </w:r>
          </w:p>
        </w:tc>
      </w:tr>
    </w:tbl>
    <w:p>
      <w:pPr>
        <w:pStyle w:val="Heading2"/>
        <w:spacing w:after="120" w:before="240"/>
      </w:pPr>
      <w:r>
        <w:rPr>
          <w:rFonts w:ascii="Times New Roman" w:cs="Times New Roman" w:eastAsia="Times New Roman" w:hAnsi="Times New Roman"/>
          <w:b/>
          <w:bCs/>
          <w:sz w:val="24"/>
          <w:szCs w:val="24"/>
        </w:rPr>
        <w:t xml:space="preserve">4.3 Model Selection and Training</w:t>
      </w:r>
    </w:p>
    <w:p>
      <w:pPr>
        <w:spacing w:after="160"/>
        <w:ind w:firstLine="440"/>
        <w:jc w:val="both"/>
      </w:pPr>
      <w:r>
        <w:rPr>
          <w:rFonts w:ascii="Times New Roman" w:cs="Times New Roman" w:eastAsia="Times New Roman" w:hAnsi="Times New Roman"/>
          <w:sz w:val="22"/>
          <w:szCs w:val="22"/>
        </w:rPr>
        <w:t xml:space="preserve">A Random Forest classifier was selected on the basis of its robustness to noisy features, implicit feature importance ranking, and negligible hyperparameter sensitivity relative to gradient boosting methods. The PySpark pipeline comprises three stages: (1) VectorAssembler concatenates scalar features into a dense vector; (2) StandardScaler normalises to zero mean and unit variance, which is necessary because tree ensembles themselves are scale-invariant but the scaler ensures compatibility with future model swaps; (3) RandomForestClassifier with 100 estimators and maximum depth 8.</w:t>
      </w:r>
    </w:p>
    <w:p>
      <w:pPr>
        <w:spacing w:after="160"/>
        <w:ind w:firstLine="440"/>
        <w:jc w:val="both"/>
      </w:pPr>
      <w:r>
        <w:rPr>
          <w:rFonts w:ascii="Times New Roman" w:cs="Times New Roman" w:eastAsia="Times New Roman" w:hAnsi="Times New Roman"/>
          <w:sz w:val="22"/>
          <w:szCs w:val="22"/>
        </w:rPr>
        <w:t xml:space="preserve">Training used 80% of the 10,000 samples (8,079 after stratified split). The remaining 1,921 samples formed the held-out test set. No cross-validation was applied, as the primary evaluation metric is operational (online failure detection rate) rather than generalisation across datasets.</w:t>
      </w:r>
    </w:p>
    <w:p>
      <w:pPr>
        <w:pStyle w:val="Heading2"/>
        <w:spacing w:after="120" w:before="240"/>
      </w:pPr>
      <w:r>
        <w:rPr>
          <w:rFonts w:ascii="Times New Roman" w:cs="Times New Roman" w:eastAsia="Times New Roman" w:hAnsi="Times New Roman"/>
          <w:b/>
          <w:bCs/>
          <w:sz w:val="24"/>
          <w:szCs w:val="24"/>
        </w:rPr>
        <w:t xml:space="preserve">4.4 Evaluation Metrics</w:t>
      </w:r>
    </w:p>
    <w:p>
      <w:pPr>
        <w:spacing w:after="160"/>
        <w:ind w:firstLine="440"/>
        <w:jc w:val="both"/>
      </w:pPr>
      <w:r>
        <w:rPr>
          <w:rFonts w:ascii="Times New Roman" w:cs="Times New Roman" w:eastAsia="Times New Roman" w:hAnsi="Times New Roman"/>
          <w:sz w:val="22"/>
          <w:szCs w:val="22"/>
        </w:rPr>
        <w:t xml:space="preserve">Two metrics were prioritised: AUC-ROC, which measures discrimination ability independently of threshold selection, and F1 Score, which balances precision and recall under class imbalance. The alert threshold (failure_prob &gt; 0.75) was selected to minimise false negatives (missed failures) while maintaining acceptable false positive rates in production.</w:t>
      </w:r>
    </w:p>
    <w:p>
      <w:pPr>
        <w:spacing w:after="160"/>
        <w:jc w:val="both"/>
      </w:pPr>
      <w:r>
        <w:rPr>
          <w:rFonts w:ascii="Times New Roman" w:cs="Times New Roman" w:eastAsia="Times New Roman" w:hAnsi="Times New Roman"/>
          <w:sz w:val="22"/>
          <w:szCs w:val="22"/>
        </w:rPr>
        <w:t xml:space="preserve"/>
      </w:r>
    </w:p>
    <w:p>
      <w:pPr>
        <w:spacing w:after="120"/>
        <w:jc w:val="center"/>
      </w:pPr>
      <w:r>
        <w:rPr>
          <w:rFonts w:ascii="Times New Roman" w:cs="Times New Roman" w:eastAsia="Times New Roman" w:hAnsi="Times New Roman"/>
          <w:b/>
          <w:bCs/>
          <w:i/>
          <w:iCs/>
          <w:sz w:val="20"/>
          <w:szCs w:val="20"/>
        </w:rPr>
        <w:t xml:space="preserve">Table 3. 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46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AUC-ROC</w:t>
            </w:r>
          </w:p>
        </w:tc>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0.9640</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F1 Score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0.9418</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Training Samples</w:t>
            </w:r>
          </w:p>
        </w:tc>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8,079</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Test Samples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1,921</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Positive Class Rate</w:t>
            </w:r>
          </w:p>
        </w:tc>
        <w:tc>
          <w:tcPr>
            <w:tcW w:type="dxa" w:w="468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Times New Roman" w:cs="Times New Roman" w:eastAsia="Times New Roman" w:hAnsi="Times New Roman"/>
                <w:sz w:val="20"/>
                <w:szCs w:val="20"/>
              </w:rPr>
              <w:t xml:space="preserve">~15%</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Alert Threshold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75% failure probability</w:t>
            </w:r>
          </w:p>
        </w:tc>
      </w:tr>
    </w:tbl>
    <w:p>
      <w:r>
        <w:br w:type="page"/>
      </w:r>
    </w:p>
    <w:p>
      <w:pPr>
        <w:pStyle w:val="Heading1"/>
        <w:pBdr>
          <w:bottom w:val="single" w:color="333333" w:sz="2" w:space="4"/>
        </w:pBdr>
        <w:spacing w:after="180" w:before="360"/>
      </w:pPr>
      <w:r>
        <w:rPr>
          <w:rFonts w:ascii="Times New Roman" w:cs="Times New Roman" w:eastAsia="Times New Roman" w:hAnsi="Times New Roman"/>
          <w:b/>
          <w:bCs/>
          <w:caps/>
          <w:sz w:val="28"/>
          <w:szCs w:val="28"/>
        </w:rPr>
        <w:t xml:space="preserve">5. Experimental Results</w:t>
      </w:r>
    </w:p>
    <w:p>
      <w:pPr>
        <w:pStyle w:val="Heading2"/>
        <w:spacing w:after="120" w:before="240"/>
      </w:pPr>
      <w:r>
        <w:rPr>
          <w:rFonts w:ascii="Times New Roman" w:cs="Times New Roman" w:eastAsia="Times New Roman" w:hAnsi="Times New Roman"/>
          <w:b/>
          <w:bCs/>
          <w:sz w:val="24"/>
          <w:szCs w:val="24"/>
        </w:rPr>
        <w:t xml:space="preserve">5.1 Baseline Operation</w:t>
      </w:r>
    </w:p>
    <w:p>
      <w:pPr>
        <w:spacing w:after="160"/>
        <w:ind w:firstLine="440"/>
        <w:jc w:val="both"/>
      </w:pPr>
      <w:r>
        <w:rPr>
          <w:rFonts w:ascii="Times New Roman" w:cs="Times New Roman" w:eastAsia="Times New Roman" w:hAnsi="Times New Roman"/>
          <w:sz w:val="22"/>
          <w:szCs w:val="22"/>
        </w:rPr>
        <w:t xml:space="preserve">Under normal simulation conditions, with all five machines in state 0 (normal) or occasionally state 1 (warning), the alert consumer processed messages and requested scoring at regular intervals. No machine exceeded a 25% failure probability during baseline testing, and no spurious alerts were triggered. This confirms that the model's specificity is sufficient to avoid alert fatigue in production deployments.</w:t>
      </w:r>
    </w:p>
    <w:p>
      <w:pPr>
        <w:pStyle w:val="Heading2"/>
        <w:spacing w:after="120" w:before="240"/>
      </w:pPr>
      <w:r>
        <w:rPr>
          <w:rFonts w:ascii="Times New Roman" w:cs="Times New Roman" w:eastAsia="Times New Roman" w:hAnsi="Times New Roman"/>
          <w:b/>
          <w:bCs/>
          <w:sz w:val="24"/>
          <w:szCs w:val="24"/>
        </w:rPr>
        <w:t xml:space="preserve">5.2 Failure Injection Experiment</w:t>
      </w:r>
    </w:p>
    <w:p>
      <w:pPr>
        <w:spacing w:after="160"/>
        <w:ind w:firstLine="440"/>
        <w:jc w:val="both"/>
      </w:pPr>
      <w:r>
        <w:rPr>
          <w:rFonts w:ascii="Times New Roman" w:cs="Times New Roman" w:eastAsia="Times New Roman" w:hAnsi="Times New Roman"/>
          <w:sz w:val="22"/>
          <w:szCs w:val="22"/>
        </w:rPr>
        <w:t xml:space="preserve">To validate detection sensitivity, the inject_failure.py script was activated for Machine M001, overriding sensor readings with critical-state values: temperature 92–97°C (critical threshold: 95°C), vibration 0.68–0.82g (critical threshold: 0.75g), and pressure 130–135 bar. Within seconds of injection, M001's scored failure probability escalated to 100%, triggering a HIGH RISK alert. Machines M002–M005 continued to score below 25%, demonstrating isolation of the alerting logic to the affected machine.</w:t>
      </w:r>
    </w:p>
    <w:p>
      <w:pPr>
        <w:spacing w:after="160"/>
        <w:ind w:firstLine="440"/>
        <w:jc w:val="both"/>
      </w:pPr>
      <w:r>
        <w:rPr>
          <w:rFonts w:ascii="Times New Roman" w:cs="Times New Roman" w:eastAsia="Times New Roman" w:hAnsi="Times New Roman"/>
          <w:sz w:val="22"/>
          <w:szCs w:val="22"/>
        </w:rPr>
        <w:t xml:space="preserve">Key observations:</w:t>
      </w:r>
    </w:p>
    <w:p>
      <w:pPr>
        <w:pStyle w:val="ListParagraph"/>
        <w:numPr>
          <w:ilvl w:val="0"/>
          <w:numId w:val="2"/>
        </w:numPr>
        <w:spacing w:after="80"/>
      </w:pPr>
      <w:r>
        <w:rPr>
          <w:rFonts w:ascii="Times New Roman" w:cs="Times New Roman" w:eastAsia="Times New Roman" w:hAnsi="Times New Roman"/>
          <w:sz w:val="22"/>
          <w:szCs w:val="22"/>
        </w:rPr>
        <w:t xml:space="preserve">Detection latency: M001 was flagged within 3–5 scoring cycles (~15 seconds at 500ms sampling interval).</w:t>
      </w:r>
    </w:p>
    <w:p>
      <w:pPr>
        <w:pStyle w:val="ListParagraph"/>
        <w:numPr>
          <w:ilvl w:val="0"/>
          <w:numId w:val="2"/>
        </w:numPr>
        <w:spacing w:after="80"/>
      </w:pPr>
      <w:r>
        <w:rPr>
          <w:rFonts w:ascii="Times New Roman" w:cs="Times New Roman" w:eastAsia="Times New Roman" w:hAnsi="Times New Roman"/>
          <w:sz w:val="22"/>
          <w:szCs w:val="22"/>
        </w:rPr>
        <w:t xml:space="preserve">False positive rate: 0 alerts on M002–M005 throughout the injection period.</w:t>
      </w:r>
    </w:p>
    <w:p>
      <w:pPr>
        <w:pStyle w:val="ListParagraph"/>
        <w:numPr>
          <w:ilvl w:val="0"/>
          <w:numId w:val="2"/>
        </w:numPr>
        <w:spacing w:after="80"/>
      </w:pPr>
      <w:r>
        <w:rPr>
          <w:rFonts w:ascii="Times New Roman" w:cs="Times New Roman" w:eastAsia="Times New Roman" w:hAnsi="Times New Roman"/>
          <w:sz w:val="22"/>
          <w:szCs w:val="22"/>
        </w:rPr>
        <w:t xml:space="preserve">Recovery: Upon ceasing injection, M001's failure probability returned to baseline within approximately 60 seconds (the window length).</w:t>
      </w:r>
    </w:p>
    <w:p>
      <w:pPr>
        <w:pStyle w:val="Heading2"/>
        <w:spacing w:after="120" w:before="240"/>
      </w:pPr>
      <w:r>
        <w:rPr>
          <w:rFonts w:ascii="Times New Roman" w:cs="Times New Roman" w:eastAsia="Times New Roman" w:hAnsi="Times New Roman"/>
          <w:b/>
          <w:bCs/>
          <w:sz w:val="24"/>
          <w:szCs w:val="24"/>
        </w:rPr>
        <w:t xml:space="preserve">5.3 API Performance</w:t>
      </w:r>
    </w:p>
    <w:p>
      <w:pPr>
        <w:spacing w:after="160"/>
        <w:ind w:firstLine="440"/>
        <w:jc w:val="both"/>
      </w:pPr>
      <w:r>
        <w:rPr>
          <w:rFonts w:ascii="Times New Roman" w:cs="Times New Roman" w:eastAsia="Times New Roman" w:hAnsi="Times New Roman"/>
          <w:sz w:val="22"/>
          <w:szCs w:val="22"/>
        </w:rPr>
        <w:t xml:space="preserve">The Flask scoring service responded to /predict requests with a median latency of approximately 200ms under single-machine load, dominated by PySpark's JVM overhead on the local[2] cluster. For production deployments, pre-loading the Spark session and batching scoring requests would substantially reduce per-request overhead.</w:t>
      </w:r>
    </w:p>
    <w:p>
      <w:pPr>
        <w:pStyle w:val="Heading2"/>
        <w:spacing w:after="120" w:before="240"/>
      </w:pPr>
      <w:r>
        <w:rPr>
          <w:rFonts w:ascii="Times New Roman" w:cs="Times New Roman" w:eastAsia="Times New Roman" w:hAnsi="Times New Roman"/>
          <w:b/>
          <w:bCs/>
          <w:sz w:val="24"/>
          <w:szCs w:val="24"/>
        </w:rPr>
        <w:t xml:space="preserve">5.4 End-to-End Latency</w:t>
      </w:r>
    </w:p>
    <w:p>
      <w:pPr>
        <w:spacing w:after="160"/>
        <w:ind w:firstLine="440"/>
        <w:jc w:val="both"/>
      </w:pPr>
      <w:r>
        <w:rPr>
          <w:rFonts w:ascii="Times New Roman" w:cs="Times New Roman" w:eastAsia="Times New Roman" w:hAnsi="Times New Roman"/>
          <w:sz w:val="22"/>
          <w:szCs w:val="22"/>
        </w:rPr>
        <w:t xml:space="preserve">The total time from sensor event emission to alert display in Grafana was measured at approximately 2–4 seconds under local Docker Compose deployment, including Kafka producer/consumer overhead, window computation, REST API round-trip, and InfluxDB write + Grafana refresh cycle. This latency is acceptable for most industrial PdM use cases, where equipment degradation typically occurs over minutes to hours.</w:t>
      </w:r>
    </w:p>
    <w:p>
      <w:r>
        <w:br w:type="page"/>
      </w:r>
    </w:p>
    <w:p>
      <w:pPr>
        <w:pStyle w:val="Heading1"/>
        <w:pBdr>
          <w:bottom w:val="single" w:color="333333" w:sz="2" w:space="4"/>
        </w:pBdr>
        <w:spacing w:after="180" w:before="360"/>
      </w:pPr>
      <w:r>
        <w:rPr>
          <w:rFonts w:ascii="Times New Roman" w:cs="Times New Roman" w:eastAsia="Times New Roman" w:hAnsi="Times New Roman"/>
          <w:b/>
          <w:bCs/>
          <w:caps/>
          <w:sz w:val="28"/>
          <w:szCs w:val="28"/>
        </w:rPr>
        <w:t xml:space="preserve">6. Discussion</w:t>
      </w:r>
    </w:p>
    <w:p>
      <w:pPr>
        <w:pStyle w:val="Heading2"/>
        <w:spacing w:after="120" w:before="240"/>
      </w:pPr>
      <w:r>
        <w:rPr>
          <w:rFonts w:ascii="Times New Roman" w:cs="Times New Roman" w:eastAsia="Times New Roman" w:hAnsi="Times New Roman"/>
          <w:b/>
          <w:bCs/>
          <w:sz w:val="24"/>
          <w:szCs w:val="24"/>
        </w:rPr>
        <w:t xml:space="preserve">6.1 Architectural Trade-offs</w:t>
      </w:r>
    </w:p>
    <w:p>
      <w:pPr>
        <w:spacing w:after="160"/>
        <w:ind w:firstLine="440"/>
        <w:jc w:val="both"/>
      </w:pPr>
      <w:r>
        <w:rPr>
          <w:rFonts w:ascii="Times New Roman" w:cs="Times New Roman" w:eastAsia="Times New Roman" w:hAnsi="Times New Roman"/>
          <w:sz w:val="22"/>
          <w:szCs w:val="22"/>
        </w:rPr>
        <w:t xml:space="preserve">The decision to implement feature extraction in the alert consumer (Python/Kafka consumer) rather than in a Flink job was driven by pragmatic considerations — it avoided the complexity of a compiled Java/Scala Flink job while preserving the ability to integrate with the PySpark scoring service via REST. In a production deployment with millions of machines, migrating window computation to Flink with native Kafka source connectors would significantly improve throughput and reduce scoring latency.</w:t>
      </w:r>
    </w:p>
    <w:p>
      <w:pPr>
        <w:pStyle w:val="Heading2"/>
        <w:spacing w:after="120" w:before="240"/>
      </w:pPr>
      <w:r>
        <w:rPr>
          <w:rFonts w:ascii="Times New Roman" w:cs="Times New Roman" w:eastAsia="Times New Roman" w:hAnsi="Times New Roman"/>
          <w:b/>
          <w:bCs/>
          <w:sz w:val="24"/>
          <w:szCs w:val="24"/>
        </w:rPr>
        <w:t xml:space="preserve">6.2 Model Limitations</w:t>
      </w:r>
    </w:p>
    <w:p>
      <w:pPr>
        <w:spacing w:after="160"/>
        <w:ind w:firstLine="440"/>
        <w:jc w:val="both"/>
      </w:pPr>
      <w:r>
        <w:rPr>
          <w:rFonts w:ascii="Times New Roman" w:cs="Times New Roman" w:eastAsia="Times New Roman" w:hAnsi="Times New Roman"/>
          <w:sz w:val="22"/>
          <w:szCs w:val="22"/>
        </w:rPr>
        <w:t xml:space="preserve">The model was trained exclusively on synthetic data generated under controlled statistical assumptions. Real industrial sensor data frequently exhibits non-stationarity (sensor drift, seasonal patterns), heteroscedastic noise, and class distributions that shift over time as equipment ages. Retraining on real data and implementing online learning or periodic model refresh cycles would be essential before production deployment.</w:t>
      </w:r>
    </w:p>
    <w:p>
      <w:pPr>
        <w:spacing w:after="160"/>
        <w:ind w:firstLine="440"/>
        <w:jc w:val="both"/>
      </w:pPr>
      <w:r>
        <w:rPr>
          <w:rFonts w:ascii="Times New Roman" w:cs="Times New Roman" w:eastAsia="Times New Roman" w:hAnsi="Times New Roman"/>
          <w:sz w:val="22"/>
          <w:szCs w:val="22"/>
        </w:rPr>
        <w:t xml:space="preserve">Additionally, the current model does not provide explainability beyond the binary alert. Integrating SHAP (SHapley Additive exPlanations) values into the scoring service would enable maintenance engineers to understand which sensor features drove a particular alert, improving actionability.</w:t>
      </w:r>
    </w:p>
    <w:p>
      <w:pPr>
        <w:pStyle w:val="Heading2"/>
        <w:spacing w:after="120" w:before="240"/>
      </w:pPr>
      <w:r>
        <w:rPr>
          <w:rFonts w:ascii="Times New Roman" w:cs="Times New Roman" w:eastAsia="Times New Roman" w:hAnsi="Times New Roman"/>
          <w:b/>
          <w:bCs/>
          <w:sz w:val="24"/>
          <w:szCs w:val="24"/>
        </w:rPr>
        <w:t xml:space="preserve">6.3 Scalability Considerations</w:t>
      </w:r>
    </w:p>
    <w:p>
      <w:pPr>
        <w:spacing w:after="160"/>
        <w:ind w:firstLine="440"/>
        <w:jc w:val="both"/>
      </w:pPr>
      <w:r>
        <w:rPr>
          <w:rFonts w:ascii="Times New Roman" w:cs="Times New Roman" w:eastAsia="Times New Roman" w:hAnsi="Times New Roman"/>
          <w:sz w:val="22"/>
          <w:szCs w:val="22"/>
        </w:rPr>
        <w:t xml:space="preserve">The current Docker Compose deployment is suitable for development and proof-of-concept validation. Scaling to thousands of machines would require: (1) a multi-broker Kafka cluster with appropriate replication factors; (2) a distributed Flink cluster; (3) a horizontally scaled scoring service (multiple Flask replicas behind a load balancer); (4) InfluxDB clustering or a managed time-series database service. Migration to Kubernetes would provide declarative scaling, health checks, and rolling deployments.</w:t>
      </w:r>
    </w:p>
    <w:p>
      <w:pPr>
        <w:pStyle w:val="Heading2"/>
        <w:spacing w:after="120" w:before="240"/>
      </w:pPr>
      <w:r>
        <w:rPr>
          <w:rFonts w:ascii="Times New Roman" w:cs="Times New Roman" w:eastAsia="Times New Roman" w:hAnsi="Times New Roman"/>
          <w:b/>
          <w:bCs/>
          <w:sz w:val="24"/>
          <w:szCs w:val="24"/>
        </w:rPr>
        <w:t xml:space="preserve">6.4 Security Considerations</w:t>
      </w:r>
    </w:p>
    <w:p>
      <w:pPr>
        <w:spacing w:after="160"/>
        <w:ind w:firstLine="440"/>
        <w:jc w:val="both"/>
      </w:pPr>
      <w:r>
        <w:rPr>
          <w:rFonts w:ascii="Times New Roman" w:cs="Times New Roman" w:eastAsia="Times New Roman" w:hAnsi="Times New Roman"/>
          <w:sz w:val="22"/>
          <w:szCs w:val="22"/>
        </w:rPr>
        <w:t xml:space="preserve">The current implementation uses hardcoded InfluxDB tokens and plaintext Kafka communication — appropriate for development but unacceptable for production. Production deployments should enforce TLS encryption on all Kafka brokers, rotate InfluxDB admin tokens via a secrets manager, restrict Grafana access via SSO, and implement Kafka ACLs to limit topic access by consumer group.</w:t>
      </w:r>
    </w:p>
    <w:p>
      <w:r>
        <w:br w:type="page"/>
      </w:r>
    </w:p>
    <w:p>
      <w:pPr>
        <w:pStyle w:val="Heading1"/>
        <w:pBdr>
          <w:bottom w:val="single" w:color="333333" w:sz="2" w:space="4"/>
        </w:pBdr>
        <w:spacing w:after="180" w:before="360"/>
      </w:pPr>
      <w:r>
        <w:rPr>
          <w:rFonts w:ascii="Times New Roman" w:cs="Times New Roman" w:eastAsia="Times New Roman" w:hAnsi="Times New Roman"/>
          <w:b/>
          <w:bCs/>
          <w:caps/>
          <w:sz w:val="28"/>
          <w:szCs w:val="28"/>
        </w:rPr>
        <w:t xml:space="preserve">7. Conclusion</w:t>
      </w:r>
    </w:p>
    <w:p>
      <w:pPr>
        <w:spacing w:after="160"/>
        <w:ind w:firstLine="440"/>
        <w:jc w:val="both"/>
      </w:pPr>
      <w:r>
        <w:rPr>
          <w:rFonts w:ascii="Times New Roman" w:cs="Times New Roman" w:eastAsia="Times New Roman" w:hAnsi="Times New Roman"/>
          <w:sz w:val="22"/>
          <w:szCs w:val="22"/>
        </w:rPr>
        <w:t xml:space="preserve">This paper presented a real-time IoT predictive maintenance pipeline integrating Apache Kafka, Apache Flink, PySpark MLlib, InfluxDB, and Grafana in a fully containerised Docker Compose environment. The system monitors five industrial machines across three sensor modalities and predicts failure probabilities using a Random Forest model that achieved AUC-ROC 0.964 and F1 Score 0.942 on synthetic sensor data.</w:t>
      </w:r>
    </w:p>
    <w:p>
      <w:pPr>
        <w:spacing w:after="160"/>
        <w:ind w:firstLine="440"/>
        <w:jc w:val="both"/>
      </w:pPr>
      <w:r>
        <w:rPr>
          <w:rFonts w:ascii="Times New Roman" w:cs="Times New Roman" w:eastAsia="Times New Roman" w:hAnsi="Times New Roman"/>
          <w:sz w:val="22"/>
          <w:szCs w:val="22"/>
        </w:rPr>
        <w:t xml:space="preserve">Failure injection experiments confirmed the system's ability to detect critical machine states with 100% probability within seconds while maintaining zero false positives on healthy machines. The end-to-end pipeline latency of 2–4 seconds is well within the tolerances of typical industrial predictive maintenance workflows.</w:t>
      </w:r>
    </w:p>
    <w:p>
      <w:pPr>
        <w:spacing w:after="160"/>
        <w:ind w:firstLine="440"/>
        <w:jc w:val="both"/>
      </w:pPr>
      <w:r>
        <w:rPr>
          <w:rFonts w:ascii="Times New Roman" w:cs="Times New Roman" w:eastAsia="Times New Roman" w:hAnsi="Times New Roman"/>
          <w:sz w:val="22"/>
          <w:szCs w:val="22"/>
        </w:rPr>
        <w:t xml:space="preserve">Future work will focus on: (1) integration with real industrial sensor feeds via OPC-UA and MQTT protocols; (2) exploration of LSTM-based models for temporal sequence modelling; (3) migration to Kubernetes for production-grade deployment; and (4) addition of SHAP-based explainability to improve maintenance engineer decision support.</w:t>
      </w:r>
    </w:p>
    <w:p>
      <w:pPr>
        <w:spacing w:after="160"/>
        <w:ind w:firstLine="440"/>
        <w:jc w:val="both"/>
      </w:pPr>
      <w:r>
        <w:rPr>
          <w:rFonts w:ascii="Times New Roman" w:cs="Times New Roman" w:eastAsia="Times New Roman" w:hAnsi="Times New Roman"/>
          <w:sz w:val="22"/>
          <w:szCs w:val="22"/>
        </w:rPr>
        <w:t xml:space="preserve">The complete source code and Docker Compose configuration are available for replication and extension by the research community.</w:t>
      </w:r>
    </w:p>
    <w:p>
      <w:r>
        <w:br w:type="page"/>
      </w:r>
    </w:p>
    <w:p>
      <w:pPr>
        <w:pStyle w:val="Heading1"/>
        <w:pBdr>
          <w:bottom w:val="single" w:color="333333" w:sz="2" w:space="4"/>
        </w:pBdr>
        <w:spacing w:after="180" w:before="360"/>
      </w:pPr>
      <w:r>
        <w:rPr>
          <w:rFonts w:ascii="Times New Roman" w:cs="Times New Roman" w:eastAsia="Times New Roman" w:hAnsi="Times New Roman"/>
          <w:b/>
          <w:bCs/>
          <w:caps/>
          <w:sz w:val="28"/>
          <w:szCs w:val="28"/>
        </w:rPr>
        <w:t xml:space="preserve">References</w:t>
      </w:r>
    </w:p>
    <w:p>
      <w:pPr>
        <w:spacing w:after="160"/>
        <w:jc w:val="both"/>
      </w:pPr>
      <w:r>
        <w:rPr>
          <w:rFonts w:ascii="Times New Roman" w:cs="Times New Roman" w:eastAsia="Times New Roman" w:hAnsi="Times New Roman"/>
          <w:sz w:val="22"/>
          <w:szCs w:val="22"/>
        </w:rPr>
        <w:t xml:space="preserve">[1] Jardine, A.K.S., Lin, D., &amp; Banjevic, D. (2006). A review on machinery diagnostics and prognostics implementing condition-based maintenance. Mechanical Systems and Signal Processing, 20(7), 1483–1510.</w:t>
      </w:r>
    </w:p>
    <w:p>
      <w:pPr>
        <w:spacing w:after="160"/>
        <w:jc w:val="both"/>
      </w:pPr>
      <w:r>
        <w:rPr>
          <w:rFonts w:ascii="Times New Roman" w:cs="Times New Roman" w:eastAsia="Times New Roman" w:hAnsi="Times New Roman"/>
          <w:sz w:val="22"/>
          <w:szCs w:val="22"/>
        </w:rPr>
        <w:t xml:space="preserve">[2] Aberdeen Group. (2006). The Total Economic Impact of Predictive Maintenance. Aberdeen Group Research Report.</w:t>
      </w:r>
    </w:p>
    <w:p>
      <w:pPr>
        <w:spacing w:after="160"/>
        <w:jc w:val="both"/>
      </w:pPr>
      <w:r>
        <w:rPr>
          <w:rFonts w:ascii="Times New Roman" w:cs="Times New Roman" w:eastAsia="Times New Roman" w:hAnsi="Times New Roman"/>
          <w:sz w:val="22"/>
          <w:szCs w:val="22"/>
        </w:rPr>
        <w:t xml:space="preserve">[3] Mobley, R.K. (2002). An Introduction to Predictive Maintenance (2nd ed.). Butterworth-Heinemann.</w:t>
      </w:r>
    </w:p>
    <w:p>
      <w:pPr>
        <w:spacing w:after="160"/>
        <w:jc w:val="both"/>
      </w:pPr>
      <w:r>
        <w:rPr>
          <w:rFonts w:ascii="Times New Roman" w:cs="Times New Roman" w:eastAsia="Times New Roman" w:hAnsi="Times New Roman"/>
          <w:sz w:val="22"/>
          <w:szCs w:val="22"/>
        </w:rPr>
        <w:t xml:space="preserve">[4] Hochreiter, S., &amp; Schmidhuber, J. (1997). Long short-term memory. Neural Computation, 9(8), 1735–1780.</w:t>
      </w:r>
    </w:p>
    <w:p>
      <w:pPr>
        <w:spacing w:after="160"/>
        <w:jc w:val="both"/>
      </w:pPr>
      <w:r>
        <w:rPr>
          <w:rFonts w:ascii="Times New Roman" w:cs="Times New Roman" w:eastAsia="Times New Roman" w:hAnsi="Times New Roman"/>
          <w:sz w:val="22"/>
          <w:szCs w:val="22"/>
        </w:rPr>
        <w:t xml:space="preserve">[5] Breiman, L. (2001). Random forests. Machine Learning, 45(1), 5–32.</w:t>
      </w:r>
    </w:p>
    <w:p>
      <w:pPr>
        <w:spacing w:after="160"/>
        <w:jc w:val="both"/>
      </w:pPr>
      <w:r>
        <w:rPr>
          <w:rFonts w:ascii="Times New Roman" w:cs="Times New Roman" w:eastAsia="Times New Roman" w:hAnsi="Times New Roman"/>
          <w:sz w:val="22"/>
          <w:szCs w:val="22"/>
        </w:rPr>
        <w:t xml:space="preserve">[6] Kreps, J. (2011). Kafka: A Distributed Messaging System for Log Processing. Proceedings of the NetDB Workshop at SIGMOD.</w:t>
      </w:r>
    </w:p>
    <w:p>
      <w:pPr>
        <w:spacing w:after="160"/>
        <w:jc w:val="both"/>
      </w:pPr>
      <w:r>
        <w:rPr>
          <w:rFonts w:ascii="Times New Roman" w:cs="Times New Roman" w:eastAsia="Times New Roman" w:hAnsi="Times New Roman"/>
          <w:sz w:val="22"/>
          <w:szCs w:val="22"/>
        </w:rPr>
        <w:t xml:space="preserve">[7] Carbone, P., Katsifodimos, A., Ewen, S., Markl, V., Haridi, S., &amp; Tzoumas, K. (2015). Apache Flink: Stream and Batch Processing in a Single Engine. IEEE Data Engineering Bulletin, 38(4).</w:t>
      </w:r>
    </w:p>
    <w:p>
      <w:pPr>
        <w:spacing w:after="160"/>
        <w:jc w:val="both"/>
      </w:pPr>
      <w:r>
        <w:rPr>
          <w:rFonts w:ascii="Times New Roman" w:cs="Times New Roman" w:eastAsia="Times New Roman" w:hAnsi="Times New Roman"/>
          <w:sz w:val="22"/>
          <w:szCs w:val="22"/>
        </w:rPr>
        <w:t xml:space="preserve">[8] Zaharia, M., Chowdhury, M., Franklin, M.J., Shenker, S., &amp; Stoica, I. (2010). Spark: Cluster Computing with Working Sets. USENIX HotCloud.</w:t>
      </w:r>
    </w:p>
    <w:p>
      <w:pPr>
        <w:spacing w:after="160"/>
        <w:jc w:val="both"/>
      </w:pPr>
      <w:r>
        <w:rPr>
          <w:rFonts w:ascii="Times New Roman" w:cs="Times New Roman" w:eastAsia="Times New Roman" w:hAnsi="Times New Roman"/>
          <w:sz w:val="22"/>
          <w:szCs w:val="22"/>
        </w:rPr>
        <w:t xml:space="preserve">[9] InfluxData. (2023). InfluxDB 2.x Documentation. https://docs.influxdata.com/influxdb/v2.7/</w:t>
      </w:r>
    </w:p>
    <w:p>
      <w:pPr>
        <w:spacing w:after="160"/>
        <w:jc w:val="both"/>
      </w:pPr>
      <w:r>
        <w:rPr>
          <w:rFonts w:ascii="Times New Roman" w:cs="Times New Roman" w:eastAsia="Times New Roman" w:hAnsi="Times New Roman"/>
          <w:sz w:val="22"/>
          <w:szCs w:val="22"/>
        </w:rPr>
        <w:t xml:space="preserve">[10] Liaw, A., &amp; Wiener, M. (2002). Classification and Regression by randomForest. R News, 2(3), 18–22.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Times New Roman" w:cs="Times New Roman" w:eastAsia="Times New Roman" w:hAnsi="Times New Roman"/>
        <w:color w:val="888888"/>
        <w:sz w:val="18"/>
        <w:szCs w:val="18"/>
      </w:rPr>
      <w:t xml:space="preserve">© 2026 — IoT Predictive Maintenance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Times New Roman" w:cs="Times New Roman" w:eastAsia="Times New Roman" w:hAnsi="Times New Roman"/>
        <w:i/>
        <w:iCs/>
        <w:color w:val="555555"/>
        <w:sz w:val="18"/>
        <w:szCs w:val="18"/>
      </w:rPr>
      <w:t xml:space="preserve">Real-Time Predictive Maintenance Using Apache Kafka, PySpark MLlib, and InfluxDB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2026-05-14T04:45:40.558Z</dcterms:created>
  <dcterms:modified xsi:type="dcterms:W3CDTF">2026-05-14T04:45:40.558Z</dcterms:modified>
</cp:coreProperties>
</file>

<file path=docProps/custom.xml><?xml version="1.0" encoding="utf-8"?>
<Properties xmlns="http://schemas.openxmlformats.org/officeDocument/2006/custom-properties" xmlns:vt="http://schemas.openxmlformats.org/officeDocument/2006/docPropsVTypes"/>
</file>