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Акт сдачи-приемки Работ</w:t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по Заказу №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ХХ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 от 09 января 2025</w:t>
      </w:r>
    </w:p>
    <w:p w:rsidR="00000000" w:rsidDel="00000000" w:rsidP="00000000" w:rsidRDefault="00000000" w:rsidRPr="00000000" w14:paraId="00000004">
      <w:pPr>
        <w:widowControl w:val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к Договору №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 ХХХХ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от «02» октября 2023 г </w:t>
      </w:r>
    </w:p>
    <w:p w:rsidR="00000000" w:rsidDel="00000000" w:rsidP="00000000" w:rsidRDefault="00000000" w:rsidRPr="00000000" w14:paraId="00000005">
      <w:pPr>
        <w:widowControl w:val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г. Ульяновск                                                                                                                            «31» января 2025 г.</w:t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0"/>
          <w:tab w:val="left" w:leader="none" w:pos="426"/>
        </w:tabs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highlight w:val="white"/>
          <w:rtl w:val="0"/>
        </w:rPr>
        <w:t xml:space="preserve">Общество с ограниченной ответственностью “Мега”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именуемое в дальнейшем «Заказчик», в лице генерального директора ФИО, действующего на основании Устава, с одной стороны, и общество с ограниченной ответственностью «Трайв Технолоджис»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именуемое в дальнейшем «Исполнитель», в лице директора ФИО, </w:t>
      </w:r>
      <w:r w:rsidDel="00000000" w:rsidR="00000000" w:rsidRPr="00000000">
        <w:rPr>
          <w:rFonts w:ascii="Cambria" w:cs="Cambria" w:eastAsia="Cambria" w:hAnsi="Cambria"/>
          <w:sz w:val="22"/>
          <w:szCs w:val="22"/>
          <w:highlight w:val="white"/>
          <w:rtl w:val="0"/>
        </w:rPr>
        <w:t xml:space="preserve">действующего на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2"/>
          <w:szCs w:val="22"/>
          <w:highlight w:val="white"/>
          <w:rtl w:val="0"/>
        </w:rPr>
        <w:t xml:space="preserve">основании Устава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с другой стороны, вместе именуемые «Стороны», составили настоящий Акт о нижеследующем:</w:t>
      </w:r>
    </w:p>
    <w:p w:rsidR="00000000" w:rsidDel="00000000" w:rsidP="00000000" w:rsidRDefault="00000000" w:rsidRPr="00000000" w14:paraId="00000009">
      <w:pP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1. В соответствии с условиями Заказа №20 Исполнитель выполнил Работы за Отчетный период с 09 января 2025 по 31 января 2025. 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2. Фактические трудозатраты специалиста Исполнителя составили:</w:t>
      </w:r>
    </w:p>
    <w:p w:rsidR="00000000" w:rsidDel="00000000" w:rsidP="00000000" w:rsidRDefault="00000000" w:rsidRPr="00000000" w14:paraId="0000000C">
      <w:pPr>
        <w:keepNext w:val="1"/>
        <w:keepLines w:val="1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4.999999999998" w:type="dxa"/>
        <w:jc w:val="left"/>
        <w:tblInd w:w="16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621.20268375726"/>
        <w:gridCol w:w="2247.953134388143"/>
        <w:gridCol w:w="1775.2813939515318"/>
        <w:gridCol w:w="1775.2813939515318"/>
        <w:gridCol w:w="1775.2813939515318"/>
        <w:tblGridChange w:id="0">
          <w:tblGrid>
            <w:gridCol w:w="1621.20268375726"/>
            <w:gridCol w:w="2247.953134388143"/>
            <w:gridCol w:w="1775.2813939515318"/>
            <w:gridCol w:w="1775.2813939515318"/>
            <w:gridCol w:w="1775.2813939515318"/>
          </w:tblGrid>
        </w:tblGridChange>
      </w:tblGrid>
      <w:tr>
        <w:trPr>
          <w:cantSplit w:val="0"/>
          <w:tblHeader w:val="0"/>
        </w:trPr>
        <w:tc>
          <w:tcPr>
            <w:shd w:fill="9cc2e5" w:val="clea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Категории специалиста/Роль</w:t>
            </w:r>
          </w:p>
        </w:tc>
        <w:tc>
          <w:tcPr>
            <w:shd w:fill="9cc2e5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Стоимость ставки нормо-часа специалиста, руб., С НДС</w:t>
            </w:r>
          </w:p>
        </w:tc>
        <w:tc>
          <w:tcPr>
            <w:shd w:fill="9cc2e5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Объем затраченных ресурсов специалиста за Отчетный период, чел./час</w:t>
            </w:r>
          </w:p>
        </w:tc>
        <w:tc>
          <w:tcPr>
            <w:shd w:fill="9cc2e5" w:val="clear"/>
            <w:vAlign w:val="center"/>
          </w:tcPr>
          <w:p w:rsidR="00000000" w:rsidDel="00000000" w:rsidP="00000000" w:rsidRDefault="00000000" w:rsidRPr="00000000" w14:paraId="00000010">
            <w:pPr>
              <w:spacing w:after="3" w:lineRule="auto"/>
              <w:ind w:right="53" w:hanging="10"/>
              <w:jc w:val="center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Стоимость работ в месяц, руб. с НДС</w:t>
            </w:r>
          </w:p>
        </w:tc>
        <w:tc>
          <w:tcPr>
            <w:shd w:fill="9cc2e5" w:val="clear"/>
            <w:vAlign w:val="center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20"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В том числе НДС, руб.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Роль разработчика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ххх рублей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highlight w:val="white"/>
                <w:rtl w:val="0"/>
              </w:rPr>
              <w:t xml:space="preserve">ххх часов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ххх рублей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ххх рублей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1"/>
        <w:keepLines w:val="1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720"/>
        </w:tabs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Общая стоимость выполненных Работ составляет сумму ххх (</w:t>
      </w:r>
      <w:r w:rsidDel="00000000" w:rsidR="00000000" w:rsidRPr="00000000">
        <w:rPr>
          <w:sz w:val="22"/>
          <w:szCs w:val="22"/>
          <w:rtl w:val="0"/>
        </w:rPr>
        <w:t xml:space="preserve">расшифровка текстом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 рублей 00 копеек, в том числе НДС в размере ххх (</w:t>
      </w:r>
      <w:r w:rsidDel="00000000" w:rsidR="00000000" w:rsidRPr="00000000">
        <w:rPr>
          <w:sz w:val="22"/>
          <w:szCs w:val="22"/>
          <w:rtl w:val="0"/>
        </w:rPr>
        <w:t xml:space="preserve">расшифровка текстом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 рублей (</w:t>
      </w:r>
      <w:r w:rsidDel="00000000" w:rsidR="00000000" w:rsidRPr="00000000">
        <w:rPr>
          <w:sz w:val="22"/>
          <w:szCs w:val="22"/>
          <w:rtl w:val="0"/>
        </w:rPr>
        <w:t xml:space="preserve">расшифровка текстом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 копеек, ООО «Трайв Технолоджис» с 01.01.2025 становится плательщиком НДС, одновременно применяя упрощенную систему налогообложения и будет применять специальную налоговую ставку 5%, предусмотренную п. 8 ст. 164 НК РФ (в редакции Федерального закона от 12.07.2024 № 176-ФЗ).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84"/>
        </w:tabs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3. Настоящий Акт служит основанием для расчетов в соответствии с условиями Договора.</w:t>
      </w:r>
    </w:p>
    <w:p w:rsidR="00000000" w:rsidDel="00000000" w:rsidP="00000000" w:rsidRDefault="00000000" w:rsidRPr="00000000" w14:paraId="0000001A">
      <w:pPr>
        <w:jc w:val="center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Подписи Сторон:</w:t>
      </w:r>
    </w:p>
    <w:p w:rsidR="00000000" w:rsidDel="00000000" w:rsidP="00000000" w:rsidRDefault="00000000" w:rsidRPr="00000000" w14:paraId="0000001C">
      <w:pPr>
        <w:jc w:val="center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Layout w:type="fixed"/>
        <w:tblLook w:val="0000"/>
      </w:tblPr>
      <w:tblGrid>
        <w:gridCol w:w="4677"/>
        <w:gridCol w:w="4678"/>
        <w:tblGridChange w:id="0">
          <w:tblGrid>
            <w:gridCol w:w="4677"/>
            <w:gridCol w:w="46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1"/>
              <w:keepLines w:val="1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От Заказчика: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1"/>
              <w:keepLines w:val="1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От Исполнителя: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1"/>
              <w:keepLines w:val="1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Генеральный директор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Директор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1"/>
              <w:keepLines w:val="1"/>
              <w:rPr>
                <w:rFonts w:ascii="Cambria" w:cs="Cambria" w:eastAsia="Cambria" w:hAnsi="Cambria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1"/>
              <w:keepLines w:val="1"/>
              <w:rPr>
                <w:rFonts w:ascii="Cambria" w:cs="Cambria" w:eastAsia="Cambria" w:hAnsi="Cambria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2"/>
                <w:szCs w:val="22"/>
                <w:rtl w:val="0"/>
              </w:rPr>
              <w:t xml:space="preserve">________________ ФИО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1"/>
              <w:keepLines w:val="1"/>
              <w:rPr>
                <w:rFonts w:ascii="Cambria" w:cs="Cambria" w:eastAsia="Cambria" w:hAnsi="Cambria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1"/>
              <w:keepLines w:val="1"/>
              <w:rPr>
                <w:rFonts w:ascii="Cambria" w:cs="Cambria" w:eastAsia="Cambria" w:hAnsi="Cambria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2"/>
                <w:szCs w:val="22"/>
                <w:rtl w:val="0"/>
              </w:rPr>
              <w:t xml:space="preserve">__________________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2"/>
                <w:szCs w:val="22"/>
                <w:rtl w:val="0"/>
              </w:rPr>
              <w:t xml:space="preserve">ФИО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1"/>
              <w:keepLines w:val="1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1"/>
              <w:keepLines w:val="1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1"/>
              <w:keepLines w:val="1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hirUcSWfOUHqm+lMjv/rVDGYA==">CgMxLjAyCGguZ2pkZ3hzOAByITF5TWhyenBSbUluTW5QaXZGOGQyQkFqejVKYU1YNERCcw==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