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ЗАКАЗ № 20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 Договору №  хххх  от «02» октября 2023 г </w:t>
      </w:r>
    </w:p>
    <w:p w:rsidR="00000000" w:rsidDel="00000000" w:rsidP="00000000" w:rsidRDefault="00000000" w:rsidRPr="00000000" w14:paraId="00000003">
      <w:pPr>
        <w:widowControl w:val="0"/>
        <w:ind w:left="-56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г. Ульяновск                                                                                                                                 «09» января 2025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-567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567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Общество с ограниченной ответственностью “Мега”</w:t>
      </w:r>
      <w:r w:rsidDel="00000000" w:rsidR="00000000" w:rsidRPr="00000000">
        <w:rPr>
          <w:sz w:val="22"/>
          <w:szCs w:val="22"/>
          <w:rtl w:val="0"/>
        </w:rPr>
        <w:t xml:space="preserve">, именуемое в дальнейшем «Заказчик», в лице генерального директора ФИО, действующего на основании Устава, с одной стороны, и общество с ограниченной ответственностью «Трайв Технолоджис»</w:t>
      </w:r>
      <w:r w:rsidDel="00000000" w:rsidR="00000000" w:rsidRPr="00000000">
        <w:rPr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именуемое в дальнейшем «Исполнитель», в лице директора ФИО,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действующего на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основании Устава</w:t>
      </w:r>
      <w:r w:rsidDel="00000000" w:rsidR="00000000" w:rsidRPr="00000000">
        <w:rPr>
          <w:sz w:val="22"/>
          <w:szCs w:val="22"/>
          <w:rtl w:val="0"/>
        </w:rPr>
        <w:t xml:space="preserve">, с другой стороны, вместе именуемые «Стороны», заключили настоящий договор (далее – Договор) о нижеследующем: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720"/>
        </w:tabs>
        <w:ind w:left="-567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-207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соответствии с условиями настоящего Заказа №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Исполнитель обязуется выполнить следующие Работы: </w:t>
      </w:r>
    </w:p>
    <w:tbl>
      <w:tblPr>
        <w:tblStyle w:val="Table1"/>
        <w:tblW w:w="10065.0" w:type="dxa"/>
        <w:jc w:val="left"/>
        <w:tblInd w:w="-6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3960"/>
        <w:gridCol w:w="5490"/>
        <w:tblGridChange w:id="0">
          <w:tblGrid>
            <w:gridCol w:w="615"/>
            <w:gridCol w:w="3960"/>
            <w:gridCol w:w="5490"/>
          </w:tblGrid>
        </w:tblGridChange>
      </w:tblGrid>
      <w:tr>
        <w:trPr>
          <w:cantSplit w:val="1"/>
          <w:trHeight w:val="10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9cc2e5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9cc2e5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Наименование Работ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9cc2e5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Срок начала и окончания выполнения Работ</w:t>
            </w:r>
          </w:p>
        </w:tc>
      </w:tr>
      <w:tr>
        <w:trPr>
          <w:cantSplit w:val="1"/>
          <w:trHeight w:val="33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ххх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 января - 31 января</w:t>
            </w:r>
          </w:p>
        </w:tc>
      </w:tr>
      <w:tr>
        <w:trPr>
          <w:cantSplit w:val="1"/>
          <w:trHeight w:val="1274.599609374999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Итого предельная стоимость по Заказу: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left" w:leader="none" w:pos="72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ххх (расшифровка текстом) рублей 00 копеек, в том числе НДС в размере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ххх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(расшифровка текстом) рублей (расшифровка текстом) копеек, ООО «Трайв Технолоджис» с 01.01.2025 становится плательщиком НДС, одновременно применяя упрощенную систему налогообложения и будет применять специальную налоговую ставку 5%, предусмотренную п. 8 ст. 164 НК РФ (в редакции Федерального закона от 12.07.2024 № 176-ФЗ).  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-207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-207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Работы выполняются в соответствии с Техническим заданием/Техническими требованиями, указанными в Приложении 1 к Заказу 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-207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Роли и количество специалистов с указанием необходимых компетенций: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153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Роль специалиста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-207" w:right="0" w:hanging="36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 вступает в силу с момента подписания уполномоченными представителями Сторон. В случае заключения Заказа позднее даты начала Работ, действие Заказа распространяется на отношения Сторон, возникшие с даты начала выполнения Работ. Во всём остальном, что не предусмотрено настоящим Заказом, Стороны руководствуются положениями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720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38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tbl>
      <w:tblPr>
        <w:tblStyle w:val="Table2"/>
        <w:tblW w:w="9355.0" w:type="dxa"/>
        <w:jc w:val="left"/>
        <w:tblLayout w:type="fixed"/>
        <w:tblLook w:val="00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1"/>
              <w:keepLines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От Заказчика: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1"/>
              <w:keepLines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От Исполнителя: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1"/>
              <w:keepLines w:val="1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________________ ФИО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1"/>
              <w:keepLines w:val="1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__________________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/pgzdoAHIBwXljoVeLbjK6BkQ==">CgMxLjAyCGguZ2pkZ3hzMgloLjMwajB6bGw4AHIhMW1VWUJ5LVFfSkFicUp4aGVmcjZ6SUQ0di02NWY0NWhI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