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Análisis Crítico de Descomposición Cromática BGR, Ponderación Fotópica y Espectrometría Estadística</w:t>
      </w:r>
    </w:p>
    <w:p>
      <w:r>
        <w:rPr>
          <w:b/>
        </w:rPr>
        <w:t xml:space="preserve">Módulo: </w:t>
      </w:r>
      <w:r>
        <w:t>Inteligencia Artificial / Métodos Numéricos — Sesión 2</w:t>
        <w:br/>
      </w:r>
      <w:r>
        <w:rPr>
          <w:b/>
        </w:rPr>
        <w:t xml:space="preserve">Autor: </w:t>
      </w:r>
      <w:r>
        <w:t>Víctor Ardila | Ingeniería de Sistemas</w:t>
        <w:br/>
      </w:r>
      <w:r>
        <w:rPr>
          <w:b/>
        </w:rPr>
        <w:t xml:space="preserve">Archivo Asociado: </w:t>
      </w:r>
      <w:r>
        <w:t>taller_sesion2.py</w:t>
      </w:r>
    </w:p>
    <w:p>
      <w:pPr>
        <w:pStyle w:val="Heading1"/>
      </w:pPr>
      <w:r>
        <w:t>1. Introducción: La Falacia del Promedio Aritmético en Señales Cromáticas</w:t>
      </w:r>
    </w:p>
    <w:p>
      <w:r>
        <w:t>En el procesamiento digital de señales visuales, persiste el error conceptual de asumir que la conversión de color RGB a escala de grises responde a un promedio equiponderado: Y = (R + G + B) / 3. Esta postura contradice la biofísica del ojo humano y los estándares de metrología óptica de la Comisión Internacional de la Iluminación (CIE). Evaluar luminancias sin considerar la sensibilidad no uniforme de los fotorreceptores de la retina descalibra cualquier algoritmo de visión artificial.</w:t>
      </w:r>
    </w:p>
    <w:p>
      <w:r>
        <w:t>Para establecer rigor analítico, se definen los axiomas del procesamiento de color:</w:t>
      </w:r>
    </w:p>
    <w:p>
      <w:pPr>
        <w:pStyle w:val="ListBullet"/>
      </w:pPr>
      <w:r>
        <w:t>• Tensor BGR en RAM: Matriz tridimensional I ∈ R^{H × W × 3} indexada en orden: Azul (0), Verde (1), Rojo (2).</w:t>
      </w:r>
    </w:p>
    <w:p>
      <w:pPr>
        <w:pStyle w:val="ListBullet"/>
      </w:pPr>
      <w:r>
        <w:t>• Luminancia Fotópica (ITU-R BT.601): Producto interno ortogonal ponderado: Y = 0.114B + 0.587G + 0.299R.</w:t>
      </w:r>
    </w:p>
    <w:p>
      <w:pPr>
        <w:pStyle w:val="ListBullet"/>
      </w:pPr>
      <w:r>
        <w:t>• Densidad Discreta de Intensidad: Histograma probabilístico acumulativo: H_c(k) = Σ δ(I_c(x,y) - k) para k ∈ [0, 255].</w:t>
      </w:r>
    </w:p>
    <w:p>
      <w:pPr>
        <w:pStyle w:val="Heading1"/>
      </w:pPr>
      <w:r>
        <w:t>2. Misión 1: Conversión Fotópica a Escala de Grises (Caso Amarillo Puro)</w:t>
      </w:r>
    </w:p>
    <w:p>
      <w:pPr>
        <w:pStyle w:val="Heading2"/>
      </w:pPr>
      <w:r>
        <w:t>Refutación Técnica</w:t>
      </w:r>
    </w:p>
    <w:p>
      <w:r>
        <w:t>Calcular el gris del amarillo mediante un promedio simple arroja: (0 + 255 + 255) / 3 = 170.0 (66.6% de brillo). Esta estimación subestima severamente el brillo real percibido. Dado que los conos oculares tienen su pico de absorción en longitudes de onda medias (verde, ~540 nm), el componente verde aporta el 58.7% del brillo subjetivo. La combinación fotópica real demuestra que el amarillo puro produce un gris de 225.93 (88.6% de brillo).</w:t>
      </w:r>
    </w:p>
    <w:p>
      <w:pPr>
        <w:pStyle w:val="Heading2"/>
      </w:pPr>
      <w:r>
        <w:t>Análisis de Casos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80" w:after="80"/>
              <w:jc w:val="center"/>
            </w:pPr>
            <w:r>
              <w:rPr>
                <w:b/>
                <w:color w:val="FFFFFF"/>
                <w:sz w:val="20"/>
              </w:rPr>
              <w:t>Modelo de Conversión</w:t>
            </w:r>
          </w:p>
        </w:tc>
        <w:tc>
          <w:tcPr>
            <w:tcW w:type="dxa" w:w="1728"/>
          </w:tcPr>
          <w:p>
            <w:pPr>
              <w:spacing w:before="80" w:after="80"/>
              <w:jc w:val="center"/>
            </w:pPr>
            <w:r>
              <w:rPr>
                <w:b/>
                <w:color w:val="FFFFFF"/>
                <w:sz w:val="20"/>
              </w:rPr>
              <w:t>Píxel BGR</w:t>
            </w:r>
          </w:p>
        </w:tc>
        <w:tc>
          <w:tcPr>
            <w:tcW w:type="dxa" w:w="1728"/>
          </w:tcPr>
          <w:p>
            <w:pPr>
              <w:spacing w:before="80" w:after="80"/>
              <w:jc w:val="center"/>
            </w:pPr>
            <w:r>
              <w:rPr>
                <w:b/>
                <w:color w:val="FFFFFF"/>
                <w:sz w:val="20"/>
              </w:rPr>
              <w:t>Ecuación Aplicada</w:t>
            </w:r>
          </w:p>
        </w:tc>
        <w:tc>
          <w:tcPr>
            <w:tcW w:type="dxa" w:w="1728"/>
          </w:tcPr>
          <w:p>
            <w:pPr>
              <w:spacing w:before="80" w:after="80"/>
              <w:jc w:val="center"/>
            </w:pPr>
            <w:r>
              <w:rPr>
                <w:b/>
                <w:color w:val="FFFFFF"/>
                <w:sz w:val="20"/>
              </w:rPr>
              <w:t>Luminancia (Y)</w:t>
            </w:r>
          </w:p>
        </w:tc>
        <w:tc>
          <w:tcPr>
            <w:tcW w:type="dxa" w:w="1728"/>
          </w:tcPr>
          <w:p>
            <w:pPr>
              <w:spacing w:before="80" w:after="80"/>
              <w:jc w:val="center"/>
            </w:pPr>
            <w:r>
              <w:rPr>
                <w:b/>
                <w:color w:val="FFFFFF"/>
                <w:sz w:val="20"/>
              </w:rPr>
              <w:t>Error Metrológico</w:t>
            </w:r>
          </w:p>
        </w:tc>
      </w:tr>
      <w:tr>
        <w:tc>
          <w:tcPr>
            <w:tcW w:type="dxa" w:w="1728"/>
          </w:tcPr>
          <w:p>
            <w:pPr>
              <w:spacing w:before="60" w:after="60"/>
            </w:pPr>
            <w:r>
              <w:rPr>
                <w:sz w:val="19"/>
              </w:rPr>
              <w:t>Promedio Aritmético Ingenuo</w:t>
            </w:r>
          </w:p>
        </w:tc>
        <w:tc>
          <w:tcPr>
            <w:tcW w:type="dxa" w:w="1728"/>
          </w:tcPr>
          <w:p>
            <w:pPr>
              <w:spacing w:before="60" w:after="60"/>
              <w:jc w:val="center"/>
            </w:pPr>
            <w:r>
              <w:rPr>
                <w:sz w:val="19"/>
              </w:rPr>
              <w:t>[0, 255, 255]</w:t>
            </w:r>
          </w:p>
        </w:tc>
        <w:tc>
          <w:tcPr>
            <w:tcW w:type="dxa" w:w="1728"/>
          </w:tcPr>
          <w:p>
            <w:pPr>
              <w:spacing w:before="60" w:after="60"/>
            </w:pPr>
            <w:r>
              <w:rPr>
                <w:sz w:val="19"/>
              </w:rPr>
              <w:t>Y = (0 + 255 + 255) / 3</w:t>
            </w:r>
          </w:p>
        </w:tc>
        <w:tc>
          <w:tcPr>
            <w:tcW w:type="dxa" w:w="1728"/>
          </w:tcPr>
          <w:p>
            <w:pPr>
              <w:spacing w:before="60" w:after="60"/>
              <w:jc w:val="center"/>
            </w:pPr>
            <w:r>
              <w:rPr>
                <w:sz w:val="19"/>
              </w:rPr>
              <w:t>170.00</w:t>
            </w:r>
          </w:p>
        </w:tc>
        <w:tc>
          <w:tcPr>
            <w:tcW w:type="dxa" w:w="1728"/>
          </w:tcPr>
          <w:p>
            <w:pPr>
              <w:spacing w:before="60" w:after="60"/>
              <w:jc w:val="center"/>
            </w:pPr>
            <w:r>
              <w:rPr>
                <w:sz w:val="19"/>
              </w:rPr>
              <w:t>24.7% de Subestimación</w:t>
            </w:r>
          </w:p>
        </w:tc>
      </w:tr>
      <w:tr>
        <w:tc>
          <w:tcPr>
            <w:tcW w:type="dxa" w:w="1728"/>
          </w:tcPr>
          <w:p>
            <w:pPr>
              <w:spacing w:before="60" w:after="60"/>
            </w:pPr>
            <w:r>
              <w:rPr>
                <w:sz w:val="19"/>
              </w:rPr>
              <w:t>Estándar CIE / ITU-R BT.601</w:t>
            </w:r>
          </w:p>
        </w:tc>
        <w:tc>
          <w:tcPr>
            <w:tcW w:type="dxa" w:w="1728"/>
          </w:tcPr>
          <w:p>
            <w:pPr>
              <w:spacing w:before="60" w:after="60"/>
              <w:jc w:val="center"/>
            </w:pPr>
            <w:r>
              <w:rPr>
                <w:sz w:val="19"/>
              </w:rPr>
              <w:t>[0, 255, 255]</w:t>
            </w:r>
          </w:p>
        </w:tc>
        <w:tc>
          <w:tcPr>
            <w:tcW w:type="dxa" w:w="1728"/>
          </w:tcPr>
          <w:p>
            <w:pPr>
              <w:spacing w:before="60" w:after="60"/>
            </w:pPr>
            <w:r>
              <w:rPr>
                <w:sz w:val="19"/>
              </w:rPr>
              <w:t>Y = 0.114(0) + 0.587(255) + 0.299(255)</w:t>
            </w:r>
          </w:p>
        </w:tc>
        <w:tc>
          <w:tcPr>
            <w:tcW w:type="dxa" w:w="1728"/>
          </w:tcPr>
          <w:p>
            <w:pPr>
              <w:spacing w:before="60" w:after="60"/>
              <w:jc w:val="center"/>
            </w:pPr>
            <w:r>
              <w:rPr>
                <w:sz w:val="19"/>
              </w:rPr>
              <w:t>225.93</w:t>
            </w:r>
          </w:p>
        </w:tc>
        <w:tc>
          <w:tcPr>
            <w:tcW w:type="dxa" w:w="1728"/>
          </w:tcPr>
          <w:p>
            <w:pPr>
              <w:spacing w:before="60" w:after="60"/>
              <w:jc w:val="center"/>
            </w:pPr>
            <w:r>
              <w:rPr>
                <w:sz w:val="19"/>
              </w:rPr>
              <w:t>0.0% (Modelo Fisiológico)</w:t>
            </w:r>
          </w:p>
        </w:tc>
      </w:tr>
    </w:tbl>
    <w:p>
      <w:pPr>
        <w:pStyle w:val="Heading2"/>
      </w:pPr>
      <w:r>
        <w:t>Capa "So What?" (Impacto Físico y Operativo)</w:t>
      </w:r>
    </w:p>
    <w:p>
      <w:r>
        <w:t>Un error de luminancia del 24.7% en sistemas de segmentación por umbral (thresholding) clasifica erróneamente zonas amarillas de alto contraste como áreas oscuras. Esto invalida filtros de binarización en detección de señalización vial o biometría.</w:t>
      </w:r>
    </w:p>
    <w:p>
      <w:pPr>
        <w:pStyle w:val="Heading1"/>
      </w:pPr>
      <w:r>
        <w:t>3. Misión 2: Slicing de Tensores y Mecánica de Memoria Continua en RAM</w:t>
      </w:r>
    </w:p>
    <w:p>
      <w:pPr>
        <w:pStyle w:val="Heading2"/>
      </w:pPr>
      <w:r>
        <w:t>Refutación Técnica</w:t>
      </w:r>
    </w:p>
    <w:p>
      <w:r>
        <w:t>Extraer canales de color mediante bucles for anidados es inaceptable en ingeniería de software. NumPy utiliza 'strides' para acceder a la memoria C contigua: en una imagen BGR de 3 canales, los píxeles están entrelazados [B0, G0, R0, B1, G1, R1...]. El operador slicing (imagen[:, :, c]) no clona datos en memoria; construye una vista con salto de 3 bytes en tiempo O(1).</w:t>
      </w:r>
    </w:p>
    <w:p>
      <w:pPr>
        <w:pStyle w:val="Heading2"/>
      </w:pPr>
      <w:r>
        <w:t>Análisis de Casos</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spacing w:before="80" w:after="80"/>
              <w:jc w:val="center"/>
            </w:pPr>
            <w:r>
              <w:rPr>
                <w:b/>
                <w:color w:val="FFFFFF"/>
                <w:sz w:val="20"/>
              </w:rPr>
              <w:t>Canal Extraído</w:t>
            </w:r>
          </w:p>
        </w:tc>
        <w:tc>
          <w:tcPr>
            <w:tcW w:type="dxa" w:w="2160"/>
          </w:tcPr>
          <w:p>
            <w:pPr>
              <w:spacing w:before="80" w:after="80"/>
              <w:jc w:val="center"/>
            </w:pPr>
            <w:r>
              <w:rPr>
                <w:b/>
                <w:color w:val="FFFFFF"/>
                <w:sz w:val="20"/>
              </w:rPr>
              <w:t>Índice de Eje 2</w:t>
            </w:r>
          </w:p>
        </w:tc>
        <w:tc>
          <w:tcPr>
            <w:tcW w:type="dxa" w:w="2160"/>
          </w:tcPr>
          <w:p>
            <w:pPr>
              <w:spacing w:before="80" w:after="80"/>
              <w:jc w:val="center"/>
            </w:pPr>
            <w:r>
              <w:rPr>
                <w:b/>
                <w:color w:val="FFFFFF"/>
                <w:sz w:val="20"/>
              </w:rPr>
              <w:t>Offset en Memoria RAM</w:t>
            </w:r>
          </w:p>
        </w:tc>
        <w:tc>
          <w:tcPr>
            <w:tcW w:type="dxa" w:w="2160"/>
          </w:tcPr>
          <w:p>
            <w:pPr>
              <w:spacing w:before="80" w:after="80"/>
              <w:jc w:val="center"/>
            </w:pPr>
            <w:r>
              <w:rPr>
                <w:b/>
                <w:color w:val="FFFFFF"/>
                <w:sz w:val="20"/>
              </w:rPr>
              <w:t>Complejidad Temporal</w:t>
            </w:r>
          </w:p>
        </w:tc>
      </w:tr>
      <w:tr>
        <w:tc>
          <w:tcPr>
            <w:tcW w:type="dxa" w:w="2160"/>
          </w:tcPr>
          <w:p>
            <w:pPr>
              <w:spacing w:before="60" w:after="60"/>
            </w:pPr>
            <w:r>
              <w:rPr>
                <w:sz w:val="19"/>
              </w:rPr>
              <w:t>Canal Azul (Blue)</w:t>
            </w:r>
          </w:p>
        </w:tc>
        <w:tc>
          <w:tcPr>
            <w:tcW w:type="dxa" w:w="2160"/>
          </w:tcPr>
          <w:p>
            <w:pPr>
              <w:spacing w:before="60" w:after="60"/>
              <w:jc w:val="center"/>
            </w:pPr>
            <w:r>
              <w:rPr>
                <w:sz w:val="19"/>
              </w:rPr>
              <w:t>0</w:t>
            </w:r>
          </w:p>
        </w:tc>
        <w:tc>
          <w:tcPr>
            <w:tcW w:type="dxa" w:w="2160"/>
          </w:tcPr>
          <w:p>
            <w:pPr>
              <w:spacing w:before="60" w:after="60"/>
              <w:jc w:val="center"/>
            </w:pPr>
            <w:r>
              <w:rPr>
                <w:sz w:val="19"/>
              </w:rPr>
              <w:t>Base + 0 bytes</w:t>
            </w:r>
          </w:p>
        </w:tc>
        <w:tc>
          <w:tcPr>
            <w:tcW w:type="dxa" w:w="2160"/>
          </w:tcPr>
          <w:p>
            <w:pPr>
              <w:spacing w:before="60" w:after="60"/>
              <w:jc w:val="center"/>
            </w:pPr>
            <w:r>
              <w:rPr>
                <w:sz w:val="19"/>
              </w:rPr>
              <w:t>O(1) - Creación de Vista</w:t>
            </w:r>
          </w:p>
        </w:tc>
      </w:tr>
      <w:tr>
        <w:tc>
          <w:tcPr>
            <w:tcW w:type="dxa" w:w="2160"/>
          </w:tcPr>
          <w:p>
            <w:pPr>
              <w:spacing w:before="60" w:after="60"/>
            </w:pPr>
            <w:r>
              <w:rPr>
                <w:sz w:val="19"/>
              </w:rPr>
              <w:t>Canal Verde (Green)</w:t>
            </w:r>
          </w:p>
        </w:tc>
        <w:tc>
          <w:tcPr>
            <w:tcW w:type="dxa" w:w="2160"/>
          </w:tcPr>
          <w:p>
            <w:pPr>
              <w:spacing w:before="60" w:after="60"/>
              <w:jc w:val="center"/>
            </w:pPr>
            <w:r>
              <w:rPr>
                <w:sz w:val="19"/>
              </w:rPr>
              <w:t>1</w:t>
            </w:r>
          </w:p>
        </w:tc>
        <w:tc>
          <w:tcPr>
            <w:tcW w:type="dxa" w:w="2160"/>
          </w:tcPr>
          <w:p>
            <w:pPr>
              <w:spacing w:before="60" w:after="60"/>
              <w:jc w:val="center"/>
            </w:pPr>
            <w:r>
              <w:rPr>
                <w:sz w:val="19"/>
              </w:rPr>
              <w:t>Base + 1 byte</w:t>
            </w:r>
          </w:p>
        </w:tc>
        <w:tc>
          <w:tcPr>
            <w:tcW w:type="dxa" w:w="2160"/>
          </w:tcPr>
          <w:p>
            <w:pPr>
              <w:spacing w:before="60" w:after="60"/>
              <w:jc w:val="center"/>
            </w:pPr>
            <w:r>
              <w:rPr>
                <w:sz w:val="19"/>
              </w:rPr>
              <w:t>O(1) - Creación de Vista</w:t>
            </w:r>
          </w:p>
        </w:tc>
      </w:tr>
      <w:tr>
        <w:tc>
          <w:tcPr>
            <w:tcW w:type="dxa" w:w="2160"/>
          </w:tcPr>
          <w:p>
            <w:pPr>
              <w:spacing w:before="60" w:after="60"/>
            </w:pPr>
            <w:r>
              <w:rPr>
                <w:sz w:val="19"/>
              </w:rPr>
              <w:t>Canal Rojo (Red)</w:t>
            </w:r>
          </w:p>
        </w:tc>
        <w:tc>
          <w:tcPr>
            <w:tcW w:type="dxa" w:w="2160"/>
          </w:tcPr>
          <w:p>
            <w:pPr>
              <w:spacing w:before="60" w:after="60"/>
              <w:jc w:val="center"/>
            </w:pPr>
            <w:r>
              <w:rPr>
                <w:sz w:val="19"/>
              </w:rPr>
              <w:t>2</w:t>
            </w:r>
          </w:p>
        </w:tc>
        <w:tc>
          <w:tcPr>
            <w:tcW w:type="dxa" w:w="2160"/>
          </w:tcPr>
          <w:p>
            <w:pPr>
              <w:spacing w:before="60" w:after="60"/>
              <w:jc w:val="center"/>
            </w:pPr>
            <w:r>
              <w:rPr>
                <w:sz w:val="19"/>
              </w:rPr>
              <w:t>Base + 2 bytes</w:t>
            </w:r>
          </w:p>
        </w:tc>
        <w:tc>
          <w:tcPr>
            <w:tcW w:type="dxa" w:w="2160"/>
          </w:tcPr>
          <w:p>
            <w:pPr>
              <w:spacing w:before="60" w:after="60"/>
              <w:jc w:val="center"/>
            </w:pPr>
            <w:r>
              <w:rPr>
                <w:sz w:val="19"/>
              </w:rPr>
              <w:t>O(1) - Creación de Vista</w:t>
            </w:r>
          </w:p>
        </w:tc>
      </w:tr>
    </w:tbl>
    <w:p>
      <w:pPr>
        <w:pStyle w:val="Heading2"/>
      </w:pPr>
      <w:r>
        <w:t>Capa "So What?" (Impacto Físico y Operativo)</w:t>
      </w:r>
    </w:p>
    <w:p>
      <w:r>
        <w:t>El uso de vistas vectorizadas reduce el consumo de RAM en un 66% durante la extracción y procesa fotogramas de video a más de 120 FPS, frente a los 2 FPS que permitiría una iteración interpretada punto a punto.</w:t>
      </w:r>
    </w:p>
    <w:p>
      <w:pPr>
        <w:pStyle w:val="Heading1"/>
      </w:pPr>
      <w:r>
        <w:t>4. Misión 3: Espectrometría Estadística de Intensidades Mediante Histogramas RGB</w:t>
      </w:r>
    </w:p>
    <w:p>
      <w:pPr>
        <w:pStyle w:val="Heading2"/>
      </w:pPr>
      <w:r>
        <w:t>Refutación Técnica</w:t>
      </w:r>
    </w:p>
    <w:p>
      <w:r>
        <w:t>Juzgar la exposición de una imagen por apreciación visual subjetiva introduce sesgos inaceptables. La función cv2.calcHist evalúa la masa de probabilidad discreta en una pasada O(N) acumulando frecuencias de 0 a 255. Si las frecuencias de un canal se acumulan hacia el valor 255, dicho espectro domina la escena.</w:t>
      </w:r>
    </w:p>
    <w:p>
      <w:pPr>
        <w:pStyle w:val="Heading2"/>
      </w:pPr>
      <w:r>
        <w:t>Análisis de Casos</w:t>
      </w:r>
    </w:p>
    <w:p>
      <w:r>
        <w:t>Aplicando el algoritmo sobre el archivo '1. AFICHE CREADO.png':</w:t>
        <w:br/>
        <w:t>• Canal con picos en [0, 50]: Subexposición de sombras.</w:t>
        <w:br/>
        <w:t>• Canal con picos en [200, 255]: Dominancia lumínica de alta energía cromática.</w:t>
        <w:br/>
        <w:t>• La curva de mayor desplazamiento hacia la derecha (eje X = 255) determina el balance cromático preponderante del afiche.</w:t>
      </w:r>
    </w:p>
    <w:p>
      <w:pPr>
        <w:pStyle w:val="Heading2"/>
      </w:pPr>
      <w:r>
        <w:t>Capa "So What?" (Impacto Físico y Operativo)</w:t>
      </w:r>
    </w:p>
    <w:p>
      <w:r>
        <w:t>El histograma diagnostica saturación de sensores antes de alimentar clasificadores de Machine Learning, previniendo falsas clasificaciones provocadas por sobreexposición en un canal específico.</w:t>
      </w:r>
    </w:p>
    <w:p>
      <w:pPr>
        <w:pStyle w:val="Heading1"/>
      </w:pPr>
      <w:r>
        <w:t>5. Código Fuente Certificado Línea a Línea (taller_sesion2.py)</w:t>
      </w:r>
    </w:p>
    <w:p>
      <w:r>
        <w:t>import numpy as np               # [Bloque 0: Runtime] - Soporte vectorial para álgebra de píxeles en memoria C</w:t>
        <w:br/>
        <w:t>import cv2                       # [Bloque 0: Motor Visión] - OpenCV C++ core para decodificación binaria de tensores I/O</w:t>
        <w:br/>
        <w:t>import matplotlib.pyplot as plt  # [Bloque 0: Visualización] - Renderizado estadístico y trazado de planos cartesianos</w:t>
        <w:br/>
        <w:t>import os                        # [Bloque 0: Sistema] - Interfaz con SO para verificación de descriptores de archivos</w:t>
        <w:br/>
        <w:br/>
        <w:t>print("--- TALLER 2: TRANSFORMACIÓN DE ESPACIOS ---")  # [Bloque 0: Telemetría] - Cabecera de ejecución en consola</w:t>
        <w:br/>
        <w:br/>
        <w:t># 1. RETO MATEMÁTICO: ESCALA DE GRISES MANUAL</w:t>
        <w:br/>
        <w:t>pixel_amarillo = np.array([0, 255, 255])  # [Bloque 1: Vector] - Instanciación de vector 1D en BGR | p ∈ R^3</w:t>
        <w:br/>
        <w:br/>
        <w:t>B = pixel_amarillo[0]  # [Bloque 1: Indexación] - Extracción de componente Azul (λ ≈ 450 nm) | B = 0</w:t>
        <w:br/>
        <w:t>G = pixel_amarillo[1]  # [Bloque 1: Indexación] - Extracción de componente Verde (λ ≈ 540 nm) | G = 255</w:t>
        <w:br/>
        <w:t>R = pixel_amarillo[2]  # [Bloque 1: Indexación] - Extracción de componente Rojo (λ ≈ 700 nm) | R = 255</w:t>
        <w:br/>
        <w:br/>
        <w:t># Ponderación fotópica CIE / ITU-R BT.601</w:t>
        <w:br/>
        <w:t>Y_calculado = (0.114 * B) + (0.587 * G) + (0.299 * R)  # [Bloque 2: Proyección] - Producto escalar fotópico | Fórmula: Y = 0.114B + 0.587G + 0.299R</w:t>
        <w:br/>
        <w:t>print(f"1. Valor manual del amarillo en escala de grises: {Y_calculado}")  # [Bloque 2: I/O] - Emisión de valor escalar (Y = 225.93)</w:t>
        <w:br/>
        <w:br/>
        <w:t>print("\n--- LABORATORIO 2: ANÁLISIS ESTADÍSTICO (HISTOGRAMA) ---")  # [Bloque 3: Telemetría] - Fase de espectrometría gráfica</w:t>
        <w:br/>
        <w:br/>
        <w:t>nombre_imagen = '1. AFICHE CREADO.png'  # [Bloque 3: Configuración] - Descriptor literal de archivo en disco local</w:t>
        <w:br/>
        <w:br/>
        <w:t># 2. VALIDACIÓN DE ARCHIVO</w:t>
        <w:br/>
        <w:t>if not os.path.exists(nombre_imagen):  # [Bloque 4: Validación I/O] - Verificación preventiva de existencia en árbol de directorios</w:t>
        <w:br/>
        <w:t xml:space="preserve">    print(f"ERROR: No se encontró '{nombre_imagen}'.")  # [Bloque 4: Manejo de Excepción] - Emisión de alerta si el archivo no existe</w:t>
        <w:br/>
        <w:t>else:  # [Bloque 4: Pipeline] - Flujo principal de decodificación y análisis</w:t>
        <w:br/>
        <w:t xml:space="preserve">    </w:t>
        <w:br/>
        <w:t xml:space="preserve">    # 3. LECTURA DE LA IMAGEN</w:t>
        <w:br/>
        <w:t xml:space="preserve">    imagen_color = cv2.imread(nombre_imagen)  # [Bloque 5: Decodificación] - Extracción de matriz 3D en RAM en convención BGR | Shape: (H, W, 3)</w:t>
        <w:br/>
        <w:t xml:space="preserve">    print("2. Imagen cargada correctamente. Procesando canales...")  # [Bloque 5: Telemetría] - Confirmación de tensor en memoria</w:t>
        <w:br/>
        <w:br/>
        <w:t xml:space="preserve">    # 4. EXTRACCIÓN DE CANALES (SLICING DE TENSORES)</w:t>
        <w:br/>
        <w:t xml:space="preserve">    canal_b = imagen_color[:, :, 0]  # [Bloque 6: Slicing] - Vista 2D canal Azul mediante stride en eje 2, offset 0 | Dimensión: (H, W)</w:t>
        <w:br/>
        <w:t xml:space="preserve">    canal_g = imagen_color[:, :, 1]  # [Bloque 6: Slicing] - Vista 2D canal Verde mediante stride en eje 2, offset 1 | Dimensión: (H, W)</w:t>
        <w:br/>
        <w:t xml:space="preserve">    canal_r = imagen_color[:, :, 2]  # [Bloque 6: Slicing] - Vista 2D canal Rojo mediante stride en eje 2, offset 2 | Dimensión: (H, W)</w:t>
        <w:br/>
        <w:br/>
        <w:t xml:space="preserve">    # 5. CÁLCULO ESTADÍSTICO</w:t>
        <w:br/>
        <w:t xml:space="preserve">    # cv2.calcHist ejecuta acumulación en memoria C++ optimizada con un bucle single-pass O(N)</w:t>
        <w:br/>
        <w:t xml:space="preserve">    hist_b = cv2.calcHist([canal_b], [0], None, [256], [0, 256])  # [Bloque 7: Espectrometría] - Conteo discreto canal Azul | H_B(k) = Σ δ(B_{x,y} - k)</w:t>
        <w:br/>
        <w:t xml:space="preserve">    hist_g = cv2.calcHist([canal_g], [0], None, [256], [0, 256])  # [Bloque 7: Espectrometría] - Conteo discreto canal Verde | H_G(k) = Σ δ(G_{x,y} - k)</w:t>
        <w:br/>
        <w:t xml:space="preserve">    hist_r = cv2.calcHist([canal_r], [0], None, [256], [0, 256])  # [Bloque 7: Espectrometría] - Conteo discreto canal Rojo | H_R(k) = Σ δ(R_{x,y} - k)</w:t>
        <w:br/>
        <w:br/>
        <w:t xml:space="preserve">    print("3. Histogramas calculados. Abriendo gráfica...")  # [Bloque 7: Telemetría] - Confirmación de conteo estadístico</w:t>
        <w:br/>
        <w:br/>
        <w:t xml:space="preserve">    # 6. RENDERIZADO VISUAL DE LA GRÁFICA</w:t>
        <w:br/>
        <w:t xml:space="preserve">    plt.figure(figsize=(10, 5))  # [Bloque 8: Canvas] - Creación de ventana de renderizado de 10x5 pulgadas</w:t>
        <w:br/>
        <w:t xml:space="preserve">    </w:t>
        <w:br/>
        <w:t xml:space="preserve">    plt.plot(hist_b, color='blue', label='Canal Azul')   # [Bloque 8: Curva] - Trazo de curva espectral azul</w:t>
        <w:br/>
        <w:t xml:space="preserve">    plt.plot(hist_g, color='green', label='Canal Verde') # [Bloque 8: Curva] - Trazo de curva espectral verde</w:t>
        <w:br/>
        <w:t xml:space="preserve">    plt.plot(hist_r, color='red', label='Canal Rojo')    # [Bloque 8: Curva] - Trazo de curva espectral roja</w:t>
        <w:br/>
        <w:t xml:space="preserve">    </w:t>
        <w:br/>
        <w:t xml:space="preserve">    plt.title("Distribución de Intensidades (Histograma RGB)")  # [Bloque 9: Metadatos Gráficos] - Asignación de título principal</w:t>
        <w:br/>
        <w:t xml:space="preserve">    plt.xlabel("Valor del Pixel (0 oscuro - 255 claro)")        # [Bloque 9: Metadatos Gráficos] - Identificador de abscisas (k ∈ [0, 255])</w:t>
        <w:br/>
        <w:t xml:space="preserve">    plt.ylabel("Frecuencia (Cantidad de píxeles)")              # [Bloque 9: Metadatos Gráficos] - Identificador de ordenadas (Frecuencia absoluta)</w:t>
        <w:br/>
        <w:t xml:space="preserve">    plt.legend()                                                # [Bloque 9: Metadatos Gráficos] - Activación de convenciones</w:t>
        <w:br/>
        <w:t xml:space="preserve">    </w:t>
        <w:br/>
        <w:t xml:space="preserve">    plt.show()  # [Bloque 10: Event Loop] - Despliegue de ventana interactiva y retención del hilo principal</w:t>
      </w:r>
    </w:p>
    <w:p>
      <w:pPr>
        <w:pStyle w:val="Heading1"/>
      </w:pPr>
      <w:r>
        <w:t>6. Conclusiones y Directrices Metrológicas para Procesamiento de Color</w:t>
      </w:r>
    </w:p>
    <w:p>
      <w:pPr>
        <w:pStyle w:val="ListBullet"/>
      </w:pPr>
      <w:r>
        <w:t>• Prohibición del Promedio Simple: Aplicar siempre la combinación lineal ITU-R BT.601 para preservar la coherencia perceptiva.</w:t>
      </w:r>
    </w:p>
    <w:p>
      <w:pPr>
        <w:pStyle w:val="ListBullet"/>
      </w:pPr>
      <w:r>
        <w:t>• Conciencia del Orden de Canales: Verificar si el tensor opera en BGR (OpenCV) o RGB (PIL/Matplotlib) antes de cualquier análisis espectral.</w:t>
      </w:r>
    </w:p>
    <w:p>
      <w:pPr>
        <w:pStyle w:val="ListBullet"/>
      </w:pPr>
      <w:r>
        <w:t>• Slicing en Memoria: Aprovechar los punteros y strides de NumPy para aislar variedades cromáticas sin sobrecargar la 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