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Arquitectura de Software: Pipeline Integrado de Visión Artificial</w:t>
      </w:r>
    </w:p>
    <w:p>
      <w:r>
        <w:rPr>
          <w:b/>
        </w:rPr>
        <w:t xml:space="preserve">Módulo: </w:t>
      </w:r>
      <w:r>
        <w:t>Inteligencia Artificial / Métodos Numéricos — Talleres 1, 2 y 3</w:t>
        <w:br/>
      </w:r>
      <w:r>
        <w:rPr>
          <w:b/>
        </w:rPr>
        <w:t xml:space="preserve">Autor: </w:t>
      </w:r>
      <w:r>
        <w:t>Víctor Ardila | Ingeniería de Sistemas</w:t>
        <w:br/>
      </w:r>
    </w:p>
    <w:p>
      <w:pPr>
        <w:pStyle w:val="Heading1"/>
      </w:pPr>
      <w:r>
        <w:t>1. Análisis de Librerías y Código Nativo (C/C++)</w:t>
      </w:r>
    </w:p>
    <w:p>
      <w:r>
        <w:t>El entorno Python opera como un wrapper de alto nivel. Para mantener la latencia al mínimo, la ejecución matemática se delega a motores compilados en C/C++: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Librería Importada</w:t>
            </w:r>
          </w:p>
        </w:tc>
        <w:tc>
          <w:tcPr>
            <w:tcW w:type="dxa" w:w="288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Código Madre Interno (C/C++)</w:t>
            </w:r>
          </w:p>
        </w:tc>
        <w:tc>
          <w:tcPr>
            <w:tcW w:type="dxa" w:w="288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Función Estricta en el Pipeline</w:t>
            </w:r>
          </w:p>
        </w:tc>
      </w:tr>
      <w:tr>
        <w:tc>
          <w:tcPr>
            <w:tcW w:type="dxa" w:w="2880"/>
          </w:tcPr>
          <w:p>
            <w:r>
              <w:t>numpy (np)</w:t>
            </w:r>
          </w:p>
        </w:tc>
        <w:tc>
          <w:tcPr>
            <w:tcW w:type="dxa" w:w="2880"/>
          </w:tcPr>
          <w:p>
            <w:r>
              <w:t>PyObject* array_from_binary_stream(...)</w:t>
            </w:r>
          </w:p>
        </w:tc>
        <w:tc>
          <w:tcPr>
            <w:tcW w:type="dxa" w:w="2880"/>
          </w:tcPr>
          <w:p>
            <w:r>
              <w:t>Motor algebraico. Ejecuta cálculos en registros SIMD. Extrae bytes físicos (np.fromfile) esquivando las fallas de codificación ASCII en Windows.</w:t>
            </w:r>
          </w:p>
        </w:tc>
      </w:tr>
      <w:tr>
        <w:tc>
          <w:tcPr>
            <w:tcW w:type="dxa" w:w="2880"/>
          </w:tcPr>
          <w:p>
            <w:r>
              <w:t>cv2 (OpenCV)</w:t>
            </w:r>
          </w:p>
        </w:tc>
        <w:tc>
          <w:tcPr>
            <w:tcW w:type="dxa" w:w="2880"/>
          </w:tcPr>
          <w:p>
            <w:r>
              <w:t>double cv::threshold(...)</w:t>
            </w:r>
          </w:p>
        </w:tc>
        <w:tc>
          <w:tcPr>
            <w:tcW w:type="dxa" w:w="2880"/>
          </w:tcPr>
          <w:p>
            <w:r>
              <w:t>Motor C++. Ejecuta la umbralización estadística Otsu y el álgebra morfológica con complejidad computacional asintótica O(N).</w:t>
            </w:r>
          </w:p>
        </w:tc>
      </w:tr>
      <w:tr>
        <w:tc>
          <w:tcPr>
            <w:tcW w:type="dxa" w:w="2880"/>
          </w:tcPr>
          <w:p>
            <w:r>
              <w:t>matplotlib.pyplot</w:t>
            </w:r>
          </w:p>
        </w:tc>
        <w:tc>
          <w:tcPr>
            <w:tcW w:type="dxa" w:w="2880"/>
          </w:tcPr>
          <w:p>
            <w:r>
              <w:t>void RendererAgg::draw_path(...)</w:t>
            </w:r>
          </w:p>
        </w:tc>
        <w:tc>
          <w:tcPr>
            <w:tcW w:type="dxa" w:w="2880"/>
          </w:tcPr>
          <w:p>
            <w:r>
              <w:t>Motor de renderizado (Backend Agg). Transforma matrices analizadas en polígonos representables en la interfaz gráfica del sistema.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DWORD GetFileAttributesW(LPCWSTR);</w:t>
            </w:r>
          </w:p>
        </w:tc>
        <w:tc>
          <w:tcPr>
            <w:tcW w:type="dxa" w:w="2880"/>
          </w:tcPr>
          <w:p>
            <w:r>
              <w:t>API del sistema operativo. Valida descriptores en el disco duro previo a la ejecución, previniendo excepciones por punteros nulos.</w:t>
            </w:r>
          </w:p>
        </w:tc>
      </w:tr>
    </w:tbl>
    <w:p>
      <w:pPr>
        <w:pStyle w:val="Heading1"/>
      </w:pPr>
      <w:r>
        <w:t>2. Sustentación Matemática de los Módulos</w:t>
      </w:r>
    </w:p>
    <w:p>
      <w:r>
        <w:t>La transformación secuencial del pipeline responde a los siguientes modelos algebraicos:</w:t>
      </w:r>
    </w:p>
    <w:p>
      <w:pPr>
        <w:pStyle w:val="ListBullet"/>
      </w:pPr>
      <w:r>
        <w:t>• Escala de Grises Ponderada (Taller 2): Producto interno basado en sensibilidad biológica ocular: Y = 0.114B + 0.587G + 0.299R</w:t>
      </w:r>
    </w:p>
    <w:p>
      <w:pPr>
        <w:pStyle w:val="ListBullet"/>
      </w:pPr>
      <w:r>
        <w:t>• Mapeo Afín (Taller 1): Ecuación lineal acotada para brillo y contraste: g(x) = sat(αx + β)</w:t>
      </w:r>
    </w:p>
    <w:p>
      <w:pPr>
        <w:pStyle w:val="ListBullet"/>
      </w:pPr>
      <w:r>
        <w:t>• Derivación Laplaciana (Taller 1): Aproximación de derivadas espaciales de segundo orden: ∇²I ≈ 4I(x,y) - Σ I(vecinos)</w:t>
      </w:r>
    </w:p>
    <w:p>
      <w:pPr>
        <w:pStyle w:val="ListBullet"/>
      </w:pPr>
      <w:r>
        <w:t>• Método de Otsu (Taller 3): Frontera de decisión iterativa que maximiza la varianza inter-clase: σ²_b(t) = ω_0(t)ω_1(t)[μ_0(t) - μ_1(t)]²</w:t>
      </w:r>
    </w:p>
    <w:p>
      <w:pPr>
        <w:pStyle w:val="ListBullet"/>
      </w:pPr>
      <w:r>
        <w:t>• Morfología Matemática (Taller 3): Apertura A ∘ K = (A ⊖ K) ⊕ K (elimina ruido exterior) y Cierre A • K = (A ⊕ K) ⊖ K (rellena ruido interior).</w:t>
      </w:r>
    </w:p>
    <w:p>
      <w:pPr>
        <w:pStyle w:val="Heading1"/>
      </w:pPr>
      <w:r>
        <w:t>3. Auditoría de Fallas Críticas y Blindaje Numérico</w:t>
      </w:r>
    </w:p>
    <w:p>
      <w:r>
        <w:t>El diseño unificado previene vectores críticos de fallo:</w:t>
      </w:r>
    </w:p>
    <w:p>
      <w:pPr>
        <w:pStyle w:val="Heading2"/>
      </w:pPr>
      <w:r>
        <w:t>Falla Mitigada 1: Colapso por Codificación UTF-8 (NoneType)</w:t>
      </w:r>
    </w:p>
    <w:p>
      <w:r>
        <w:t>Al intentar leer rutas con caracteres hispanos (ej. 'Segmentación'), el parser C++ de OpenCV retorna una matriz nula. Se mitigó leyendo el flujo binario crudo mediante np.fromfile y ensamblando con cv2.imdecode.</w:t>
      </w:r>
    </w:p>
    <w:p>
      <w:pPr>
        <w:pStyle w:val="Heading2"/>
      </w:pPr>
      <w:r>
        <w:t>Falla Mitigada 2: Truncamiento de Gradientes (Laplaciano)</w:t>
      </w:r>
    </w:p>
    <w:p>
      <w:r>
        <w:t>El hardware trunca a cero los valores negativos en arquitecturas de 8 bits (uint8). La convolución se procesó en 16 bits signados (cv2.CV_16S) y se recuperó la energía de contorno mediante valor absoluto (|x|).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