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D6717" w14:textId="77777777" w:rsidR="0060662B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El análisis comparativo entre la infografía técnica, el ensayo crítico y el taller de métodos numéricos demuestra un principio metrológico unificado: </w:t>
      </w:r>
      <w:r>
        <w:rPr>
          <w:rFonts w:ascii="Google Sans" w:eastAsia="Google Sans" w:hAnsi="Google Sans" w:cs="Google Sans"/>
          <w:b/>
          <w:bCs/>
          <w:color w:val="1F1F1F"/>
        </w:rPr>
        <w:t>el error absoluto ($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E_a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$) carece de significado analítico si se desvincula de la escala del valor real ($V_{\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text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{real</w:t>
      </w:r>
      <w:proofErr w:type="gramStart"/>
      <w:r>
        <w:rPr>
          <w:rFonts w:ascii="Google Sans" w:eastAsia="Google Sans" w:hAnsi="Google Sans" w:cs="Google Sans"/>
          <w:b/>
          <w:bCs/>
          <w:color w:val="1F1F1F"/>
        </w:rPr>
        <w:t>}}$</w:t>
      </w:r>
      <w:proofErr w:type="gramEnd"/>
      <w:r>
        <w:rPr>
          <w:rFonts w:ascii="Google Sans" w:eastAsia="Google Sans" w:hAnsi="Google Sans" w:cs="Google Sans"/>
          <w:b/>
          <w:bCs/>
          <w:color w:val="1F1F1F"/>
        </w:rPr>
        <w:t>)</w:t>
      </w:r>
      <w:r>
        <w:rPr>
          <w:rFonts w:ascii="Google Sans" w:eastAsia="Google Sans" w:hAnsi="Google Sans" w:cs="Google Sans"/>
          <w:color w:val="1F1F1F"/>
        </w:rPr>
        <w:t>. Mientras el taller plantea los casos como problemas de evaluación algorítmica, el ensayo fundamenta las implicaciones de estabilidad sistémica y la infografía sintetiza visualmente la gravedad operativa de la ceguera métrica en entornos de alta exigencia.</w:t>
      </w:r>
    </w:p>
    <w:p w14:paraId="4178C49B" w14:textId="77777777" w:rsidR="0060662B" w:rsidRDefault="00000000">
      <w:pPr>
        <w:pStyle w:val="Ttulo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Comparativa Estructurada de Escenarios de Ingeniería</w:t>
      </w:r>
    </w:p>
    <w:tbl>
      <w:tblPr>
        <w:tblStyle w:val="a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60662B" w14:paraId="0681EBED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1B53D6" w14:textId="77777777" w:rsidR="006066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Misión / Dominio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6C174E" w14:textId="77777777" w:rsidR="006066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Variable Crítica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C6C7A7" w14:textId="77777777" w:rsidR="006066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Vreal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​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E633F8" w14:textId="77777777" w:rsidR="006066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Ea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​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64BD4A" w14:textId="77777777" w:rsidR="006066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Error Relativo (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Ep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​)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BE6DAA" w14:textId="77777777" w:rsidR="006066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Impacto Físico y Operativo</w:t>
            </w:r>
          </w:p>
        </w:tc>
      </w:tr>
      <w:tr w:rsidR="0060662B" w14:paraId="4B95B284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449C6B" w14:textId="77777777" w:rsidR="006066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1. Microservicios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(Logs vs. Pagos)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318CFE" w14:textId="77777777" w:rsidR="006066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Latencia transaccional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FA90C4" w14:textId="77777777" w:rsidR="006066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$2,0\</w:t>
            </w:r>
            <w:proofErr w:type="spellStart"/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text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{ s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>}$ vs. $0,01\</w:t>
            </w:r>
            <w:proofErr w:type="spellStart"/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text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{ s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>}$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90744A" w14:textId="77777777" w:rsidR="006066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$0,02\</w:t>
            </w:r>
            <w:proofErr w:type="spellStart"/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text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{ s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>}$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CA0EDE" w14:textId="77777777" w:rsidR="006066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$1,0\%$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frente a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$200,0\%$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A93CFD" w14:textId="77777777" w:rsidR="006066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Pérdida total de trazabilidad en pasarelas; el error duplica la ventana completa de ejecución.</w:t>
            </w:r>
          </w:p>
        </w:tc>
      </w:tr>
      <w:tr w:rsidR="0060662B" w14:paraId="60FAA479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EE4E6A" w14:textId="77777777" w:rsidR="006066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2. Control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IoT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(Ambiente vs. Brazo)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4317E3" w14:textId="77777777" w:rsidR="006066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Salida de sensor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F86870" w14:textId="77777777" w:rsidR="006066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$25,0\</w:t>
            </w:r>
            <w:proofErr w:type="spellStart"/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text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{ °C}$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 xml:space="preserve"> vs. $0,05\</w:t>
            </w:r>
            <w:proofErr w:type="spellStart"/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text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{ rad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>}$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CB45A9" w14:textId="77777777" w:rsidR="006066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$0,1$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3C4E58" w14:textId="77777777" w:rsidR="006066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$0,4\%$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frente a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$200,0\%$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9659AA" w14:textId="77777777" w:rsidR="006066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Inestabilidad en el lazo cerrado; induce resonancia mecánica, colisiones y torque descontrolado.</w:t>
            </w:r>
          </w:p>
        </w:tc>
      </w:tr>
      <w:tr w:rsidR="0060662B" w14:paraId="55ABF20E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84AE5F" w14:textId="77777777" w:rsidR="006066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3. Redes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(Backbone vs. Edge)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222205" w14:textId="77777777" w:rsidR="006066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Ancho de banda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7FD36F" w14:textId="77777777" w:rsidR="006066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$10000$ vs. $2\</w:t>
            </w:r>
            <w:proofErr w:type="spellStart"/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text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{ Mbps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>}$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DF3D4F" w14:textId="77777777" w:rsidR="006066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$5\</w:t>
            </w:r>
            <w:proofErr w:type="spellStart"/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text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{ Mbps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>}$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4006CC" w14:textId="77777777" w:rsidR="006066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$0,05\%$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frente a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$250,0\%$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5186C4" w14:textId="77777777" w:rsidR="006066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Saturación periférica absoluta; 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desbordamiento de búfer (</w:t>
            </w: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 xml:space="preserve">buffer 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overflow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) y colapso del canal Edge.</w:t>
            </w:r>
          </w:p>
        </w:tc>
      </w:tr>
      <w:tr w:rsidR="0060662B" w14:paraId="5328E1F3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71EFA8" w14:textId="77777777" w:rsidR="006066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 xml:space="preserve">4.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FinTech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(Nómina vs. Micropago)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03E16F" w14:textId="77777777" w:rsidR="006066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Balance monetario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EC64A0" w14:textId="77777777" w:rsidR="006066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$\$5\times 10^6$ vs. $\$0,10$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DD06FE" w14:textId="77777777" w:rsidR="006066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$\$0,05\</w:t>
            </w:r>
            <w:proofErr w:type="spellStart"/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text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{ COP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>}$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62394E" w14:textId="77777777" w:rsidR="006066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$0,000001\%$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frente a 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$50,0\%$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3D4911" w14:textId="77777777" w:rsidR="006066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Asimetría contable acumulativa por truncamiento sesgado; quiebre de auditorías regulatorias (SOX/IFRS).</w:t>
            </w:r>
          </w:p>
        </w:tc>
      </w:tr>
    </w:tbl>
    <w:p w14:paraId="6270F9C6" w14:textId="77777777" w:rsidR="0060662B" w:rsidRDefault="00000000">
      <w:pPr>
        <w:pStyle w:val="Ttulo3"/>
        <w:spacing w:before="48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Implementación Numérica con Vectorización y Precisión Decimal</w:t>
      </w:r>
    </w:p>
    <w:p w14:paraId="232AFA3F" w14:textId="77777777" w:rsidR="0060662B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El siguiente programa procesa los cuatro modelos utilizando vectorización matricial </w:t>
      </w:r>
      <w:proofErr w:type="spellStart"/>
      <w:r>
        <w:rPr>
          <w:rFonts w:ascii="Google Sans" w:eastAsia="Google Sans" w:hAnsi="Google Sans" w:cs="Google Sans"/>
          <w:color w:val="1F1F1F"/>
        </w:rPr>
        <w:t>matricial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con </w:t>
      </w:r>
      <w:proofErr w:type="spellStart"/>
      <w:r>
        <w:rPr>
          <w:rFonts w:ascii="Google Sans" w:eastAsia="Google Sans" w:hAnsi="Google Sans" w:cs="Google Sans"/>
          <w:color w:val="1F1F1F"/>
        </w:rPr>
        <w:t>NumPy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para magnitudes continuas y la especificación aritmética IEEE 854/Decimal para mitigar la distorsión binaria en transacciones financieras.</w:t>
      </w:r>
    </w:p>
    <w:p w14:paraId="42CF0A25" w14:textId="77777777" w:rsidR="0060662B" w:rsidRDefault="0060662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ascii="Google Sans" w:eastAsia="Google Sans" w:hAnsi="Google Sans" w:cs="Google Sans"/>
          <w:color w:val="1F1F1F"/>
        </w:rPr>
      </w:pPr>
    </w:p>
    <w:p w14:paraId="6D8D5466" w14:textId="77777777" w:rsidR="0060662B" w:rsidRDefault="00000000">
      <w:pPr>
        <w:pStyle w:val="Ttulo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Análisis de Fallas Futuras y Mecánica de Corrección</w:t>
      </w:r>
    </w:p>
    <w:p w14:paraId="61EBD041" w14:textId="77777777" w:rsidR="0060662B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1. Singularidad por División por Cero ($V_{\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text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{real}} \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to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0$)</w:t>
      </w:r>
    </w:p>
    <w:p w14:paraId="2EA1298D" w14:textId="77777777" w:rsidR="006066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Falla:</w:t>
      </w:r>
      <w:r>
        <w:rPr>
          <w:rFonts w:ascii="Google Sans" w:eastAsia="Google Sans" w:hAnsi="Google Sans" w:cs="Google Sans"/>
          <w:color w:val="1F1F1F"/>
        </w:rPr>
        <w:t xml:space="preserve"> Cuando un sensor pasa por un cruce por cero (ej. acelerómetro en reposo $0,0\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text</w:t>
      </w:r>
      <w:proofErr w:type="spellEnd"/>
      <w:r>
        <w:rPr>
          <w:rFonts w:ascii="Google Sans" w:eastAsia="Google Sans" w:hAnsi="Google Sans" w:cs="Google Sans"/>
          <w:color w:val="1F1F1F"/>
        </w:rPr>
        <w:t>{ m</w:t>
      </w:r>
      <w:proofErr w:type="gramEnd"/>
      <w:r>
        <w:rPr>
          <w:rFonts w:ascii="Google Sans" w:eastAsia="Google Sans" w:hAnsi="Google Sans" w:cs="Google Sans"/>
          <w:color w:val="1F1F1F"/>
        </w:rPr>
        <w:t>/</w:t>
      </w:r>
      <w:proofErr w:type="gramStart"/>
      <w:r>
        <w:rPr>
          <w:rFonts w:ascii="Google Sans" w:eastAsia="Google Sans" w:hAnsi="Google Sans" w:cs="Google Sans"/>
          <w:color w:val="1F1F1F"/>
        </w:rPr>
        <w:t>s}^</w:t>
      </w:r>
      <w:proofErr w:type="gramEnd"/>
      <w:r>
        <w:rPr>
          <w:rFonts w:ascii="Google Sans" w:eastAsia="Google Sans" w:hAnsi="Google Sans" w:cs="Google Sans"/>
          <w:color w:val="1F1F1F"/>
        </w:rPr>
        <w:t>2$ o servomotor en origen $0,0\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text</w:t>
      </w:r>
      <w:proofErr w:type="spellEnd"/>
      <w:r>
        <w:rPr>
          <w:rFonts w:ascii="Google Sans" w:eastAsia="Google Sans" w:hAnsi="Google Sans" w:cs="Google Sans"/>
          <w:color w:val="1F1F1F"/>
        </w:rPr>
        <w:t>{ rad</w:t>
      </w:r>
      <w:proofErr w:type="gramEnd"/>
      <w:r>
        <w:rPr>
          <w:rFonts w:ascii="Google Sans" w:eastAsia="Google Sans" w:hAnsi="Google Sans" w:cs="Google Sans"/>
          <w:color w:val="1F1F1F"/>
        </w:rPr>
        <w:t>}$), la evaluación directa: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$$</w:t>
      </w:r>
      <w:proofErr w:type="spellStart"/>
      <w:r>
        <w:rPr>
          <w:rFonts w:ascii="Google Sans" w:eastAsia="Google Sans" w:hAnsi="Google Sans" w:cs="Google Sans"/>
          <w:color w:val="1F1F1F"/>
        </w:rPr>
        <w:t>E_p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\</w:t>
      </w:r>
      <w:proofErr w:type="spellStart"/>
      <w:r>
        <w:rPr>
          <w:rFonts w:ascii="Google Sans" w:eastAsia="Google Sans" w:hAnsi="Google Sans" w:cs="Google Sans"/>
          <w:color w:val="1F1F1F"/>
        </w:rPr>
        <w:t>lim</w:t>
      </w:r>
      <w:proofErr w:type="spellEnd"/>
      <w:r>
        <w:rPr>
          <w:rFonts w:ascii="Google Sans" w:eastAsia="Google Sans" w:hAnsi="Google Sans" w:cs="Google Sans"/>
          <w:color w:val="1F1F1F"/>
        </w:rPr>
        <w:t>_{V_{\</w:t>
      </w:r>
      <w:proofErr w:type="spellStart"/>
      <w:r>
        <w:rPr>
          <w:rFonts w:ascii="Google Sans" w:eastAsia="Google Sans" w:hAnsi="Google Sans" w:cs="Google Sans"/>
          <w:color w:val="1F1F1F"/>
        </w:rPr>
        <w:t>text</w:t>
      </w:r>
      <w:proofErr w:type="spellEnd"/>
      <w:r>
        <w:rPr>
          <w:rFonts w:ascii="Google Sans" w:eastAsia="Google Sans" w:hAnsi="Google Sans" w:cs="Google Sans"/>
          <w:color w:val="1F1F1F"/>
        </w:rPr>
        <w:t>{real}} \</w:t>
      </w:r>
      <w:proofErr w:type="spellStart"/>
      <w:r>
        <w:rPr>
          <w:rFonts w:ascii="Google Sans" w:eastAsia="Google Sans" w:hAnsi="Google Sans" w:cs="Google Sans"/>
          <w:color w:val="1F1F1F"/>
        </w:rPr>
        <w:t>to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0} \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left</w:t>
      </w:r>
      <w:proofErr w:type="spellEnd"/>
      <w:r>
        <w:rPr>
          <w:rFonts w:ascii="Google Sans" w:eastAsia="Google Sans" w:hAnsi="Google Sans" w:cs="Google Sans"/>
          <w:color w:val="1F1F1F"/>
        </w:rPr>
        <w:t>( \</w:t>
      </w:r>
      <w:proofErr w:type="gramEnd"/>
      <w:r>
        <w:rPr>
          <w:rFonts w:ascii="Google Sans" w:eastAsia="Google Sans" w:hAnsi="Google Sans" w:cs="Google Sans"/>
          <w:color w:val="1F1F1F"/>
        </w:rPr>
        <w:t>frac{</w:t>
      </w:r>
      <w:proofErr w:type="spellStart"/>
      <w:r>
        <w:rPr>
          <w:rFonts w:ascii="Google Sans" w:eastAsia="Google Sans" w:hAnsi="Google Sans" w:cs="Google Sans"/>
          <w:color w:val="1F1F1F"/>
        </w:rPr>
        <w:t>E_</w:t>
      </w:r>
      <w:proofErr w:type="gramStart"/>
      <w:r>
        <w:rPr>
          <w:rFonts w:ascii="Google Sans" w:eastAsia="Google Sans" w:hAnsi="Google Sans" w:cs="Google Sans"/>
          <w:color w:val="1F1F1F"/>
        </w:rPr>
        <w:t>a</w:t>
      </w:r>
      <w:proofErr w:type="spellEnd"/>
      <w:r>
        <w:rPr>
          <w:rFonts w:ascii="Google Sans" w:eastAsia="Google Sans" w:hAnsi="Google Sans" w:cs="Google Sans"/>
          <w:color w:val="1F1F1F"/>
        </w:rPr>
        <w:t>}{</w:t>
      </w:r>
      <w:proofErr w:type="gramEnd"/>
      <w:r>
        <w:rPr>
          <w:rFonts w:ascii="Google Sans" w:eastAsia="Google Sans" w:hAnsi="Google Sans" w:cs="Google Sans"/>
          <w:color w:val="1F1F1F"/>
        </w:rPr>
        <w:t>\</w:t>
      </w:r>
      <w:proofErr w:type="spellStart"/>
      <w:r>
        <w:rPr>
          <w:rFonts w:ascii="Google Sans" w:eastAsia="Google Sans" w:hAnsi="Google Sans" w:cs="Google Sans"/>
          <w:color w:val="1F1F1F"/>
        </w:rPr>
        <w:t>vert</w:t>
      </w:r>
      <w:proofErr w:type="spellEnd"/>
      <w:proofErr w:type="gramStart"/>
      <w:r>
        <w:rPr>
          <w:rFonts w:ascii="Google Sans" w:eastAsia="Google Sans" w:hAnsi="Google Sans" w:cs="Google Sans"/>
          <w:color w:val="1F1F1F"/>
        </w:rPr>
        <w:t>{}V</w:t>
      </w:r>
      <w:proofErr w:type="gramEnd"/>
      <w:r>
        <w:rPr>
          <w:rFonts w:ascii="Google Sans" w:eastAsia="Google Sans" w:hAnsi="Google Sans" w:cs="Google Sans"/>
          <w:color w:val="1F1F1F"/>
        </w:rPr>
        <w:t>_{\</w:t>
      </w:r>
      <w:proofErr w:type="spellStart"/>
      <w:r>
        <w:rPr>
          <w:rFonts w:ascii="Google Sans" w:eastAsia="Google Sans" w:hAnsi="Google Sans" w:cs="Google Sans"/>
          <w:color w:val="1F1F1F"/>
        </w:rPr>
        <w:t>text</w:t>
      </w:r>
      <w:proofErr w:type="spellEnd"/>
      <w:r>
        <w:rPr>
          <w:rFonts w:ascii="Google Sans" w:eastAsia="Google Sans" w:hAnsi="Google Sans" w:cs="Google Sans"/>
          <w:color w:val="1F1F1F"/>
        </w:rPr>
        <w:t>{real</w:t>
      </w:r>
      <w:proofErr w:type="gramStart"/>
      <w:r>
        <w:rPr>
          <w:rFonts w:ascii="Google Sans" w:eastAsia="Google Sans" w:hAnsi="Google Sans" w:cs="Google Sans"/>
          <w:color w:val="1F1F1F"/>
        </w:rPr>
        <w:t>}}\</w:t>
      </w:r>
      <w:proofErr w:type="spellStart"/>
      <w:r>
        <w:rPr>
          <w:rFonts w:ascii="Google Sans" w:eastAsia="Google Sans" w:hAnsi="Google Sans" w:cs="Google Sans"/>
          <w:color w:val="1F1F1F"/>
        </w:rPr>
        <w:t>vert</w:t>
      </w:r>
      <w:proofErr w:type="spellEnd"/>
      <w:r>
        <w:rPr>
          <w:rFonts w:ascii="Google Sans" w:eastAsia="Google Sans" w:hAnsi="Google Sans" w:cs="Google Sans"/>
          <w:color w:val="1F1F1F"/>
        </w:rPr>
        <w:t>{</w:t>
      </w:r>
      <w:proofErr w:type="gramEnd"/>
      <w:r>
        <w:rPr>
          <w:rFonts w:ascii="Google Sans" w:eastAsia="Google Sans" w:hAnsi="Google Sans" w:cs="Google Sans"/>
          <w:color w:val="1F1F1F"/>
        </w:rPr>
        <w:t>}} \</w:t>
      </w:r>
      <w:proofErr w:type="spellStart"/>
      <w:r>
        <w:rPr>
          <w:rFonts w:ascii="Google Sans" w:eastAsia="Google Sans" w:hAnsi="Google Sans" w:cs="Google Sans"/>
          <w:color w:val="1F1F1F"/>
        </w:rPr>
        <w:t>right</w:t>
      </w:r>
      <w:proofErr w:type="spellEnd"/>
      <w:r>
        <w:rPr>
          <w:rFonts w:ascii="Google Sans" w:eastAsia="Google Sans" w:hAnsi="Google Sans" w:cs="Google Sans"/>
          <w:color w:val="1F1F1F"/>
        </w:rPr>
        <w:t>) \times 100\% = \</w:t>
      </w:r>
      <w:proofErr w:type="spellStart"/>
      <w:r>
        <w:rPr>
          <w:rFonts w:ascii="Google Sans" w:eastAsia="Google Sans" w:hAnsi="Google Sans" w:cs="Google Sans"/>
          <w:color w:val="1F1F1F"/>
        </w:rPr>
        <w:t>infty</w:t>
      </w:r>
      <w:proofErr w:type="spellEnd"/>
      <w:r>
        <w:rPr>
          <w:rFonts w:ascii="Google Sans" w:eastAsia="Google Sans" w:hAnsi="Google Sans" w:cs="Google Sans"/>
          <w:color w:val="1F1F1F"/>
        </w:rPr>
        <w:t>$$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 xml:space="preserve">produce un desbordamiento numérico o excepción </w:t>
      </w:r>
      <w:proofErr w:type="spellStart"/>
      <w:r>
        <w:rPr>
          <w:rFonts w:ascii="Google Sans" w:eastAsia="Google Sans" w:hAnsi="Google Sans" w:cs="Google Sans"/>
          <w:color w:val="1F1F1F"/>
        </w:rPr>
        <w:t>ZeroDivisionError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en tiempo de ejecución.</w:t>
      </w:r>
    </w:p>
    <w:p w14:paraId="77C3DB30" w14:textId="77777777" w:rsidR="0060662B" w:rsidRPr="002F7AA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Corrección Numérica:</w:t>
      </w:r>
      <w:r>
        <w:rPr>
          <w:rFonts w:ascii="Google Sans" w:eastAsia="Google Sans" w:hAnsi="Google Sans" w:cs="Google Sans"/>
          <w:color w:val="1F1F1F"/>
        </w:rPr>
        <w:t xml:space="preserve"> Se implementó un factor de regularización estocástica $\</w:t>
      </w:r>
      <w:proofErr w:type="spellStart"/>
      <w:r>
        <w:rPr>
          <w:rFonts w:ascii="Google Sans" w:eastAsia="Google Sans" w:hAnsi="Google Sans" w:cs="Google Sans"/>
          <w:color w:val="1F1F1F"/>
        </w:rPr>
        <w:t>varepsilon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10</w:t>
      </w:r>
      <w:proofErr w:type="gramStart"/>
      <w:r>
        <w:rPr>
          <w:rFonts w:ascii="Google Sans" w:eastAsia="Google Sans" w:hAnsi="Google Sans" w:cs="Google Sans"/>
          <w:color w:val="1F1F1F"/>
        </w:rPr>
        <w:t>^{</w:t>
      </w:r>
      <w:proofErr w:type="gramEnd"/>
      <w:r>
        <w:rPr>
          <w:rFonts w:ascii="Google Sans" w:eastAsia="Google Sans" w:hAnsi="Google Sans" w:cs="Google Sans"/>
          <w:color w:val="1F1F1F"/>
        </w:rPr>
        <w:t>-</w:t>
      </w:r>
      <w:proofErr w:type="gramStart"/>
      <w:r>
        <w:rPr>
          <w:rFonts w:ascii="Google Sans" w:eastAsia="Google Sans" w:hAnsi="Google Sans" w:cs="Google Sans"/>
          <w:color w:val="1F1F1F"/>
        </w:rPr>
        <w:t>15}$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mediante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np.where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>. Si $\</w:t>
      </w:r>
      <w:proofErr w:type="spellStart"/>
      <w:r>
        <w:rPr>
          <w:rFonts w:ascii="Google Sans" w:eastAsia="Google Sans" w:hAnsi="Google Sans" w:cs="Google Sans"/>
          <w:color w:val="1F1F1F"/>
        </w:rPr>
        <w:t>vert</w:t>
      </w:r>
      <w:proofErr w:type="spellEnd"/>
      <w:proofErr w:type="gramStart"/>
      <w:r>
        <w:rPr>
          <w:rFonts w:ascii="Google Sans" w:eastAsia="Google Sans" w:hAnsi="Google Sans" w:cs="Google Sans"/>
          <w:color w:val="1F1F1F"/>
        </w:rPr>
        <w:t>{}V</w:t>
      </w:r>
      <w:proofErr w:type="gramEnd"/>
      <w:r>
        <w:rPr>
          <w:rFonts w:ascii="Google Sans" w:eastAsia="Google Sans" w:hAnsi="Google Sans" w:cs="Google Sans"/>
          <w:color w:val="1F1F1F"/>
        </w:rPr>
        <w:t>_{\</w:t>
      </w:r>
      <w:proofErr w:type="spellStart"/>
      <w:r>
        <w:rPr>
          <w:rFonts w:ascii="Google Sans" w:eastAsia="Google Sans" w:hAnsi="Google Sans" w:cs="Google Sans"/>
          <w:color w:val="1F1F1F"/>
        </w:rPr>
        <w:t>text</w:t>
      </w:r>
      <w:proofErr w:type="spellEnd"/>
      <w:r>
        <w:rPr>
          <w:rFonts w:ascii="Google Sans" w:eastAsia="Google Sans" w:hAnsi="Google Sans" w:cs="Google Sans"/>
          <w:color w:val="1F1F1F"/>
        </w:rPr>
        <w:t>{real</w:t>
      </w:r>
      <w:proofErr w:type="gramStart"/>
      <w:r>
        <w:rPr>
          <w:rFonts w:ascii="Google Sans" w:eastAsia="Google Sans" w:hAnsi="Google Sans" w:cs="Google Sans"/>
          <w:color w:val="1F1F1F"/>
        </w:rPr>
        <w:t>}}\</w:t>
      </w:r>
      <w:proofErr w:type="spellStart"/>
      <w:r>
        <w:rPr>
          <w:rFonts w:ascii="Google Sans" w:eastAsia="Google Sans" w:hAnsi="Google Sans" w:cs="Google Sans"/>
          <w:color w:val="1F1F1F"/>
        </w:rPr>
        <w:t>vert</w:t>
      </w:r>
      <w:proofErr w:type="spellEnd"/>
      <w:r>
        <w:rPr>
          <w:rFonts w:ascii="Google Sans" w:eastAsia="Google Sans" w:hAnsi="Google Sans" w:cs="Google Sans"/>
          <w:color w:val="1F1F1F"/>
        </w:rPr>
        <w:t>{</w:t>
      </w:r>
      <w:proofErr w:type="gramEnd"/>
      <w:r>
        <w:rPr>
          <w:rFonts w:ascii="Google Sans" w:eastAsia="Google Sans" w:hAnsi="Google Sans" w:cs="Google Sans"/>
          <w:color w:val="1F1F1F"/>
        </w:rPr>
        <w:t>} &lt; \</w:t>
      </w:r>
      <w:proofErr w:type="spellStart"/>
      <w:r>
        <w:rPr>
          <w:rFonts w:ascii="Google Sans" w:eastAsia="Google Sans" w:hAnsi="Google Sans" w:cs="Google Sans"/>
          <w:color w:val="1F1F1F"/>
        </w:rPr>
        <w:t>varepsilon</w:t>
      </w:r>
      <w:proofErr w:type="spellEnd"/>
      <w:r>
        <w:rPr>
          <w:rFonts w:ascii="Google Sans" w:eastAsia="Google Sans" w:hAnsi="Google Sans" w:cs="Google Sans"/>
          <w:color w:val="1F1F1F"/>
        </w:rPr>
        <w:t>$, el denominador transmuta a $\</w:t>
      </w:r>
      <w:proofErr w:type="spellStart"/>
      <w:r>
        <w:rPr>
          <w:rFonts w:ascii="Google Sans" w:eastAsia="Google Sans" w:hAnsi="Google Sans" w:cs="Google Sans"/>
          <w:color w:val="1F1F1F"/>
        </w:rPr>
        <w:t>varepsilon</w:t>
      </w:r>
      <w:proofErr w:type="spellEnd"/>
      <w:r>
        <w:rPr>
          <w:rFonts w:ascii="Google Sans" w:eastAsia="Google Sans" w:hAnsi="Google Sans" w:cs="Google Sans"/>
          <w:color w:val="1F1F1F"/>
        </w:rPr>
        <w:t>$, impidiendo la divergencia asintótica y permitiendo la operación ininterrumpida de sistemas en lazo cerrado.</w:t>
      </w:r>
    </w:p>
    <w:p w14:paraId="47FDC930" w14:textId="77777777" w:rsidR="002F7AA7" w:rsidRDefault="002F7AA7" w:rsidP="002F7AA7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2FBCBFE4" w14:textId="77777777" w:rsidR="0060662B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2. Corrupción de Precisión Binaria (IEEE 754 vs. Sistema Contable)</w:t>
      </w:r>
    </w:p>
    <w:p w14:paraId="771A669D" w14:textId="77777777" w:rsidR="006066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lastRenderedPageBreak/>
        <w:t>Falla:</w:t>
      </w:r>
      <w:r>
        <w:rPr>
          <w:rFonts w:ascii="Google Sans" w:eastAsia="Google Sans" w:hAnsi="Google Sans" w:cs="Google Sans"/>
          <w:color w:val="1F1F1F"/>
        </w:rPr>
        <w:t xml:space="preserve"> Los tipos float32 y float64 representan las fracciones mediante potencias negativas de base 2 ($\sum </w:t>
      </w:r>
      <w:proofErr w:type="spellStart"/>
      <w:r>
        <w:rPr>
          <w:rFonts w:ascii="Google Sans" w:eastAsia="Google Sans" w:hAnsi="Google Sans" w:cs="Google Sans"/>
          <w:color w:val="1F1F1F"/>
        </w:rPr>
        <w:t>b_i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2^{-</w:t>
      </w:r>
      <w:proofErr w:type="gramStart"/>
      <w:r>
        <w:rPr>
          <w:rFonts w:ascii="Google Sans" w:eastAsia="Google Sans" w:hAnsi="Google Sans" w:cs="Google Sans"/>
          <w:color w:val="1F1F1F"/>
        </w:rPr>
        <w:t>i}$</w:t>
      </w:r>
      <w:proofErr w:type="gramEnd"/>
      <w:r>
        <w:rPr>
          <w:rFonts w:ascii="Google Sans" w:eastAsia="Google Sans" w:hAnsi="Google Sans" w:cs="Google Sans"/>
          <w:color w:val="1F1F1F"/>
        </w:rPr>
        <w:t>). Valores de uso corriente como $0,1$ o $0,05$ son fracciones periódicas infinitas en binario: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$$0,1</w:t>
      </w:r>
      <w:proofErr w:type="gramStart"/>
      <w:r>
        <w:rPr>
          <w:rFonts w:ascii="Google Sans" w:eastAsia="Google Sans" w:hAnsi="Google Sans" w:cs="Google Sans"/>
          <w:color w:val="1F1F1F"/>
        </w:rPr>
        <w:t>_{</w:t>
      </w:r>
      <w:proofErr w:type="gramEnd"/>
      <w:r>
        <w:rPr>
          <w:rFonts w:ascii="Google Sans" w:eastAsia="Google Sans" w:hAnsi="Google Sans" w:cs="Google Sans"/>
          <w:color w:val="1F1F1F"/>
        </w:rPr>
        <w:t>10} = 0,0001100110011..._2$$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Operar sumas sucesivas de micropagos bajo esta convención arrastra errores residuales de $10</w:t>
      </w:r>
      <w:proofErr w:type="gramStart"/>
      <w:r>
        <w:rPr>
          <w:rFonts w:ascii="Google Sans" w:eastAsia="Google Sans" w:hAnsi="Google Sans" w:cs="Google Sans"/>
          <w:color w:val="1F1F1F"/>
        </w:rPr>
        <w:t>^{</w:t>
      </w:r>
      <w:proofErr w:type="gramEnd"/>
      <w:r>
        <w:rPr>
          <w:rFonts w:ascii="Google Sans" w:eastAsia="Google Sans" w:hAnsi="Google Sans" w:cs="Google Sans"/>
          <w:color w:val="1F1F1F"/>
        </w:rPr>
        <w:t>-</w:t>
      </w:r>
      <w:proofErr w:type="gramStart"/>
      <w:r>
        <w:rPr>
          <w:rFonts w:ascii="Google Sans" w:eastAsia="Google Sans" w:hAnsi="Google Sans" w:cs="Google Sans"/>
          <w:color w:val="1F1F1F"/>
        </w:rPr>
        <w:t>17}$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por iteración, desequilibrando los libros mayores en millones de </w:t>
      </w:r>
      <w:proofErr w:type="spellStart"/>
      <w:r>
        <w:rPr>
          <w:rFonts w:ascii="Google Sans" w:eastAsia="Google Sans" w:hAnsi="Google Sans" w:cs="Google Sans"/>
          <w:color w:val="1F1F1F"/>
        </w:rPr>
        <w:t>microtransacciones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4ADF9E9A" w14:textId="77777777" w:rsidR="0060662B" w:rsidRPr="002F7AA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Corrección Numérica:</w:t>
      </w:r>
      <w:r>
        <w:rPr>
          <w:rFonts w:ascii="Google Sans" w:eastAsia="Google Sans" w:hAnsi="Google Sans" w:cs="Google Sans"/>
          <w:color w:val="1F1F1F"/>
        </w:rPr>
        <w:t xml:space="preserve"> Reemplazo de la aritmética estándar por la clase Decimal, la cual evalúa cada dígito en base 10 pura con longitud fija y aplica redondeo bancario simétrico (ROUND_HALF_EVEN), eliminando el sesgo direccional de truncamiento.</w:t>
      </w:r>
    </w:p>
    <w:p w14:paraId="44E2EE63" w14:textId="77777777" w:rsidR="002F7AA7" w:rsidRDefault="002F7AA7" w:rsidP="002F7AA7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7FD466AA" w14:textId="77777777" w:rsidR="0060662B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 xml:space="preserve">3. Mecánica Interna de la Librería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NumPy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(Nivel C/Matriz)</w:t>
      </w:r>
    </w:p>
    <w:p w14:paraId="1273771B" w14:textId="77777777" w:rsidR="0060662B" w:rsidRPr="002F7AA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Fundamento:</w:t>
      </w:r>
      <w:r>
        <w:rPr>
          <w:rFonts w:ascii="Google Sans" w:eastAsia="Google Sans" w:hAnsi="Google Sans" w:cs="Google Sans"/>
          <w:color w:val="1F1F1F"/>
        </w:rPr>
        <w:t xml:space="preserve"> A diferencia de los bucles nativos de Python que consumen ciclos comprobando tipos de datos dinámicos (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dynamic</w:t>
      </w:r>
      <w:proofErr w:type="spellEnd"/>
      <w:r>
        <w:rPr>
          <w:rFonts w:ascii="Google Sans" w:eastAsia="Google Sans" w:hAnsi="Google Sans" w:cs="Google Sans"/>
          <w:i/>
          <w:i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dispatch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), el bloque vectorizado interactúa directamente con el objeto matricial </w:t>
      </w:r>
      <w:proofErr w:type="spellStart"/>
      <w:r>
        <w:rPr>
          <w:rFonts w:ascii="Google Sans" w:eastAsia="Google Sans" w:hAnsi="Google Sans" w:cs="Google Sans"/>
          <w:color w:val="1F1F1F"/>
        </w:rPr>
        <w:t>PyArrayObject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en C: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$$\</w:t>
      </w:r>
      <w:proofErr w:type="spellStart"/>
      <w:r>
        <w:rPr>
          <w:rFonts w:ascii="Google Sans" w:eastAsia="Google Sans" w:hAnsi="Google Sans" w:cs="Google Sans"/>
          <w:color w:val="1F1F1F"/>
        </w:rPr>
        <w:t>text</w:t>
      </w:r>
      <w:proofErr w:type="spellEnd"/>
      <w:r>
        <w:rPr>
          <w:rFonts w:ascii="Google Sans" w:eastAsia="Google Sans" w:hAnsi="Google Sans" w:cs="Google Sans"/>
          <w:color w:val="1F1F1F"/>
        </w:rPr>
        <w:t>{Puntero de Memoria: } \</w:t>
      </w:r>
      <w:proofErr w:type="spellStart"/>
      <w:r>
        <w:rPr>
          <w:rFonts w:ascii="Google Sans" w:eastAsia="Google Sans" w:hAnsi="Google Sans" w:cs="Google Sans"/>
          <w:color w:val="1F1F1F"/>
        </w:rPr>
        <w:t>text</w:t>
      </w:r>
      <w:proofErr w:type="spellEnd"/>
      <w:r>
        <w:rPr>
          <w:rFonts w:ascii="Google Sans" w:eastAsia="Google Sans" w:hAnsi="Google Sans" w:cs="Google Sans"/>
          <w:color w:val="1F1F1F"/>
        </w:rPr>
        <w:t>{data\_</w:t>
      </w:r>
      <w:proofErr w:type="spellStart"/>
      <w:r>
        <w:rPr>
          <w:rFonts w:ascii="Google Sans" w:eastAsia="Google Sans" w:hAnsi="Google Sans" w:cs="Google Sans"/>
          <w:color w:val="1F1F1F"/>
        </w:rPr>
        <w:t>ptr</w:t>
      </w:r>
      <w:proofErr w:type="spellEnd"/>
      <w:r>
        <w:rPr>
          <w:rFonts w:ascii="Google Sans" w:eastAsia="Google Sans" w:hAnsi="Google Sans" w:cs="Google Sans"/>
          <w:color w:val="1F1F1F"/>
        </w:rPr>
        <w:t>} + i \</w:t>
      </w:r>
      <w:proofErr w:type="spellStart"/>
      <w:r>
        <w:rPr>
          <w:rFonts w:ascii="Google Sans" w:eastAsia="Google Sans" w:hAnsi="Google Sans" w:cs="Google Sans"/>
          <w:color w:val="1F1F1F"/>
        </w:rPr>
        <w:t>cdot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\</w:t>
      </w:r>
      <w:proofErr w:type="spellStart"/>
      <w:r>
        <w:rPr>
          <w:rFonts w:ascii="Google Sans" w:eastAsia="Google Sans" w:hAnsi="Google Sans" w:cs="Google Sans"/>
          <w:color w:val="1F1F1F"/>
        </w:rPr>
        <w:t>text</w:t>
      </w:r>
      <w:proofErr w:type="spellEnd"/>
      <w:r>
        <w:rPr>
          <w:rFonts w:ascii="Google Sans" w:eastAsia="Google Sans" w:hAnsi="Google Sans" w:cs="Google Sans"/>
          <w:color w:val="1F1F1F"/>
        </w:rPr>
        <w:t>{</w:t>
      </w:r>
      <w:proofErr w:type="spellStart"/>
      <w:r>
        <w:rPr>
          <w:rFonts w:ascii="Google Sans" w:eastAsia="Google Sans" w:hAnsi="Google Sans" w:cs="Google Sans"/>
          <w:color w:val="1F1F1F"/>
        </w:rPr>
        <w:t>stride</w:t>
      </w:r>
      <w:proofErr w:type="spellEnd"/>
      <w:r>
        <w:rPr>
          <w:rFonts w:ascii="Google Sans" w:eastAsia="Google Sans" w:hAnsi="Google Sans" w:cs="Google Sans"/>
          <w:color w:val="1F1F1F"/>
        </w:rPr>
        <w:t>}$$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 xml:space="preserve">Al invocar el operador / sobre </w:t>
      </w:r>
      <w:proofErr w:type="spellStart"/>
      <w:r>
        <w:rPr>
          <w:rFonts w:ascii="Google Sans" w:eastAsia="Google Sans" w:hAnsi="Google Sans" w:cs="Google Sans"/>
          <w:color w:val="1F1F1F"/>
        </w:rPr>
        <w:t>np.ndarray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NumPy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compila la división aplicando instrucciones vectoriales SIMD (</w:t>
      </w:r>
      <w:r>
        <w:rPr>
          <w:rFonts w:ascii="Google Sans" w:eastAsia="Google Sans" w:hAnsi="Google Sans" w:cs="Google Sans"/>
          <w:i/>
          <w:iCs/>
          <w:color w:val="1F1F1F"/>
        </w:rPr>
        <w:t xml:space="preserve">Single 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Instruction</w:t>
      </w:r>
      <w:proofErr w:type="spellEnd"/>
      <w:r>
        <w:rPr>
          <w:rFonts w:ascii="Google Sans" w:eastAsia="Google Sans" w:hAnsi="Google Sans" w:cs="Google Sans"/>
          <w:i/>
          <w:iCs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Multiple</w:t>
      </w:r>
      <w:proofErr w:type="spellEnd"/>
      <w:r>
        <w:rPr>
          <w:rFonts w:ascii="Google Sans" w:eastAsia="Google Sans" w:hAnsi="Google Sans" w:cs="Google Sans"/>
          <w:i/>
          <w:iCs/>
          <w:color w:val="1F1F1F"/>
        </w:rPr>
        <w:t xml:space="preserve"> Data</w:t>
      </w:r>
      <w:r>
        <w:rPr>
          <w:rFonts w:ascii="Google Sans" w:eastAsia="Google Sans" w:hAnsi="Google Sans" w:cs="Google Sans"/>
          <w:color w:val="1F1F1F"/>
        </w:rPr>
        <w:t>, tales como AVX-512 o ARM NEON), computando simultáneamente hasta 8 valores flotantes de doble precisión por ciclo de reloj, reduciendo la latencia algorítmica de $O(n)$ interpretado a $O(n/8)$ compilado en hardware.</w:t>
      </w:r>
    </w:p>
    <w:p w14:paraId="446746DE" w14:textId="77777777" w:rsidR="002F7AA7" w:rsidRDefault="002F7AA7" w:rsidP="002F7AA7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72ACF749" w14:textId="77777777" w:rsidR="0060662B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La disparidad entre un error tolerable y un fallo crítico no reside en la magnitud métrica del desfase físico, sino en su relación proporcional respecto a la capacidad portante del sistema analizado. Evaluar los parámetros operacionales mediante el error relativo porcentual permite anticipar saturaciones de ancho de banda, inestabilidades resonantes en actuadores robóticos y desbalances transaccionales antes de que la acumulación de desviaciones nominalmente pequeñas degrade la infraestructura tecnológica.</w:t>
      </w:r>
    </w:p>
    <w:sectPr w:rsidR="0060662B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341D080-A252-4A9D-97D2-C4B3EBC5657D}"/>
  </w:font>
  <w:font w:name="Google Sans">
    <w:altName w:val="Calibri"/>
    <w:charset w:val="00"/>
    <w:family w:val="auto"/>
    <w:pitch w:val="default"/>
    <w:embedRegular r:id="rId2" w:fontKey="{7D6AF3FF-A37B-459A-9E31-7A33D61F7EC9}"/>
    <w:embedBold r:id="rId3" w:fontKey="{5EA15AAA-C43F-4699-9C25-7841228873D0}"/>
    <w:embedItalic r:id="rId4" w:fontKey="{A325BF06-66D6-44D8-9408-865703CF2EE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2355B0F5-D93E-4EDC-B446-F11FC796CE1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161C020-4C00-49F9-B95E-253F8C37260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0184A"/>
    <w:multiLevelType w:val="multilevel"/>
    <w:tmpl w:val="2718334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58516119"/>
    <w:multiLevelType w:val="multilevel"/>
    <w:tmpl w:val="808CF81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60253AA2"/>
    <w:multiLevelType w:val="multilevel"/>
    <w:tmpl w:val="28302F2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660737250">
    <w:abstractNumId w:val="2"/>
  </w:num>
  <w:num w:numId="2" w16cid:durableId="1845320330">
    <w:abstractNumId w:val="0"/>
  </w:num>
  <w:num w:numId="3" w16cid:durableId="6355271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62B"/>
    <w:rsid w:val="002F7AA7"/>
    <w:rsid w:val="00404B9B"/>
    <w:rsid w:val="0060662B"/>
    <w:rsid w:val="008E4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23A6E"/>
  <w15:docId w15:val="{EB63973C-7F23-4D4A-BB6D-1E91A2C7A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3</Pages>
  <Words>719</Words>
  <Characters>3959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VICTOR ALFONSO ARDILA RODRIGUEZ</cp:lastModifiedBy>
  <cp:revision>2</cp:revision>
  <dcterms:created xsi:type="dcterms:W3CDTF">2026-09-08T19:06:00Z</dcterms:created>
  <dcterms:modified xsi:type="dcterms:W3CDTF">2026-09-08T21:11:00Z</dcterms:modified>
</cp:coreProperties>
</file>