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8DDFF0" w14:textId="77777777" w:rsidR="00674B6B" w:rsidRDefault="00B10E7A">
      <w:pPr>
        <w:pStyle w:val="Heading1"/>
        <w:spacing w:before="280" w:after="280"/>
      </w:pPr>
      <w:r>
        <w:t>CodeMapper: Semi-automatic coding of case definitions</w:t>
      </w:r>
      <w:r w:rsidR="00C259B3">
        <w:t>. A contribution from</w:t>
      </w:r>
      <w:r w:rsidR="00D5084F">
        <w:t xml:space="preserve"> the ADVANCE project</w:t>
      </w:r>
    </w:p>
    <w:p w14:paraId="561EEE67" w14:textId="6A647B2E" w:rsidR="00194241" w:rsidRPr="00194241" w:rsidRDefault="00194241" w:rsidP="00194241">
      <w:r w:rsidRPr="00194241">
        <w:rPr>
          <w:b/>
        </w:rPr>
        <w:t>Running head:</w:t>
      </w:r>
      <w:r>
        <w:t xml:space="preserve"> CodeMapper: Semi-automatic coding of case definitions.</w:t>
      </w:r>
    </w:p>
    <w:p w14:paraId="1BD4CD49" w14:textId="5BFEEDBC" w:rsidR="00674B6B" w:rsidRPr="008B40FF" w:rsidRDefault="00B10E7A">
      <w:pPr>
        <w:pStyle w:val="NoSpacing"/>
        <w:rPr>
          <w:noProof/>
          <w:lang w:val="en-GB"/>
        </w:rPr>
      </w:pPr>
      <w:r w:rsidRPr="00AE6354">
        <w:rPr>
          <w:noProof/>
          <w:lang w:val="en-GB"/>
        </w:rPr>
        <w:t xml:space="preserve">Benedikt </w:t>
      </w:r>
      <w:r w:rsidR="00E56ECB">
        <w:rPr>
          <w:noProof/>
          <w:lang w:val="en-GB"/>
        </w:rPr>
        <w:t xml:space="preserve">F.H. </w:t>
      </w:r>
      <w:r w:rsidRPr="00AE6354">
        <w:rPr>
          <w:noProof/>
          <w:lang w:val="en-GB"/>
        </w:rPr>
        <w:t>Becker*</w:t>
      </w:r>
      <w:r w:rsidRPr="00AE6354">
        <w:rPr>
          <w:noProof/>
          <w:vertAlign w:val="superscript"/>
          <w:lang w:val="en-GB"/>
        </w:rPr>
        <w:t>a)</w:t>
      </w:r>
      <w:r w:rsidRPr="00AE6354">
        <w:rPr>
          <w:noProof/>
          <w:lang w:val="en-GB"/>
        </w:rPr>
        <w:t>, Paul Avillach</w:t>
      </w:r>
      <w:r w:rsidRPr="00AE6354">
        <w:rPr>
          <w:noProof/>
          <w:vertAlign w:val="superscript"/>
          <w:lang w:val="en-GB"/>
        </w:rPr>
        <w:t>a,b)</w:t>
      </w:r>
      <w:r w:rsidRPr="00AE6354">
        <w:rPr>
          <w:noProof/>
          <w:lang w:val="en-GB"/>
        </w:rPr>
        <w:t xml:space="preserve">, </w:t>
      </w:r>
      <w:r w:rsidR="00E57DFB">
        <w:rPr>
          <w:noProof/>
          <w:lang w:val="en-GB"/>
        </w:rPr>
        <w:t>Silvana</w:t>
      </w:r>
      <w:r w:rsidR="006D7E20">
        <w:rPr>
          <w:noProof/>
          <w:lang w:val="en-GB"/>
        </w:rPr>
        <w:t xml:space="preserve"> </w:t>
      </w:r>
      <w:r w:rsidR="00E57DFB">
        <w:rPr>
          <w:noProof/>
          <w:lang w:val="en-GB"/>
        </w:rPr>
        <w:t>Romio</w:t>
      </w:r>
      <w:r w:rsidR="00E639C8" w:rsidRPr="00E639C8">
        <w:rPr>
          <w:noProof/>
          <w:vertAlign w:val="superscript"/>
          <w:lang w:val="en-GB"/>
        </w:rPr>
        <w:t>a,</w:t>
      </w:r>
      <w:r w:rsidR="00E639C8">
        <w:rPr>
          <w:noProof/>
          <w:vertAlign w:val="superscript"/>
          <w:lang w:val="en-GB"/>
        </w:rPr>
        <w:t>c</w:t>
      </w:r>
      <w:r w:rsidR="006D7E20" w:rsidRPr="00A21671">
        <w:rPr>
          <w:noProof/>
          <w:vertAlign w:val="superscript"/>
          <w:lang w:val="en-GB"/>
        </w:rPr>
        <w:t>)</w:t>
      </w:r>
      <w:r w:rsidR="00E57DFB">
        <w:rPr>
          <w:noProof/>
          <w:lang w:val="en-GB"/>
        </w:rPr>
        <w:t xml:space="preserve">, </w:t>
      </w:r>
      <w:r w:rsidRPr="00AE6354">
        <w:rPr>
          <w:noProof/>
          <w:lang w:val="en-GB"/>
        </w:rPr>
        <w:t>Erik M. van Mulligen</w:t>
      </w:r>
      <w:r w:rsidRPr="00AE6354">
        <w:rPr>
          <w:noProof/>
          <w:vertAlign w:val="superscript"/>
          <w:lang w:val="en-GB"/>
        </w:rPr>
        <w:t>a)</w:t>
      </w:r>
      <w:r w:rsidRPr="00AE6354">
        <w:rPr>
          <w:noProof/>
          <w:lang w:val="en-GB"/>
        </w:rPr>
        <w:t>, Daniel Weibel</w:t>
      </w:r>
      <w:r w:rsidRPr="00AE6354">
        <w:rPr>
          <w:noProof/>
          <w:vertAlign w:val="superscript"/>
          <w:lang w:val="en-GB"/>
        </w:rPr>
        <w:t>a)</w:t>
      </w:r>
      <w:r w:rsidRPr="00AE6354">
        <w:rPr>
          <w:noProof/>
          <w:lang w:val="en-GB"/>
        </w:rPr>
        <w:t xml:space="preserve">, Miriam </w:t>
      </w:r>
      <w:r w:rsidR="0058490F">
        <w:rPr>
          <w:noProof/>
          <w:lang w:val="en-GB"/>
        </w:rPr>
        <w:t xml:space="preserve">C.J.M. </w:t>
      </w:r>
      <w:r w:rsidRPr="00AE6354">
        <w:rPr>
          <w:noProof/>
          <w:lang w:val="en-GB"/>
        </w:rPr>
        <w:t>Sturkenboom</w:t>
      </w:r>
      <w:r w:rsidRPr="00AE6354">
        <w:rPr>
          <w:noProof/>
          <w:vertAlign w:val="superscript"/>
          <w:lang w:val="en-GB"/>
        </w:rPr>
        <w:t>a,</w:t>
      </w:r>
      <w:r w:rsidR="00E639C8">
        <w:rPr>
          <w:noProof/>
          <w:vertAlign w:val="superscript"/>
          <w:lang w:val="en-GB"/>
        </w:rPr>
        <w:t>d</w:t>
      </w:r>
      <w:r w:rsidRPr="00AE6354">
        <w:rPr>
          <w:noProof/>
          <w:vertAlign w:val="superscript"/>
          <w:lang w:val="en-GB"/>
        </w:rPr>
        <w:t>)</w:t>
      </w:r>
      <w:r w:rsidRPr="00AE6354">
        <w:rPr>
          <w:noProof/>
          <w:lang w:val="en-GB"/>
        </w:rPr>
        <w:t>, Jan A. Kors</w:t>
      </w:r>
      <w:r w:rsidRPr="00AE6354">
        <w:rPr>
          <w:noProof/>
          <w:vertAlign w:val="superscript"/>
          <w:lang w:val="en-GB"/>
        </w:rPr>
        <w:t>a)</w:t>
      </w:r>
      <w:r w:rsidR="00D56846" w:rsidRPr="00E723C6">
        <w:rPr>
          <w:noProof/>
          <w:lang w:val="en-GB"/>
        </w:rPr>
        <w:t xml:space="preserve"> </w:t>
      </w:r>
      <w:r w:rsidR="00D5084F" w:rsidRPr="00AE6354">
        <w:rPr>
          <w:noProof/>
          <w:lang w:val="en-GB"/>
        </w:rPr>
        <w:t xml:space="preserve">for </w:t>
      </w:r>
      <w:r w:rsidR="00AE6354" w:rsidRPr="00AE6354">
        <w:rPr>
          <w:noProof/>
          <w:lang w:val="en-GB"/>
        </w:rPr>
        <w:t>t</w:t>
      </w:r>
      <w:r w:rsidR="00D5084F" w:rsidRPr="00AE6354">
        <w:rPr>
          <w:noProof/>
          <w:lang w:val="en-GB"/>
        </w:rPr>
        <w:t>he ADVANCE consortium</w:t>
      </w:r>
    </w:p>
    <w:p w14:paraId="4DD42DDB" w14:textId="59EF6664" w:rsidR="00674B6B" w:rsidRDefault="00B10E7A">
      <w:pPr>
        <w:pStyle w:val="NoSpacing"/>
        <w:rPr>
          <w:noProof/>
        </w:rPr>
      </w:pPr>
      <w:r>
        <w:rPr>
          <w:noProof/>
          <w:vertAlign w:val="superscript"/>
        </w:rPr>
        <w:t>a)</w:t>
      </w:r>
      <w:r>
        <w:rPr>
          <w:noProof/>
        </w:rPr>
        <w:t xml:space="preserve"> Department of Medical Informatics, Erasmus University Medical Center, Rotterdam, The Netherlands</w:t>
      </w:r>
      <w:r>
        <w:rPr>
          <w:noProof/>
        </w:rPr>
        <w:br/>
      </w:r>
      <w:r>
        <w:rPr>
          <w:noProof/>
          <w:vertAlign w:val="superscript"/>
        </w:rPr>
        <w:t>b)</w:t>
      </w:r>
      <w:r>
        <w:rPr>
          <w:noProof/>
        </w:rPr>
        <w:t xml:space="preserve"> Department of Biomedical Informatics, Harvard Medical School, Boston, United States</w:t>
      </w:r>
      <w:r>
        <w:rPr>
          <w:noProof/>
        </w:rPr>
        <w:br/>
      </w:r>
      <w:r>
        <w:rPr>
          <w:noProof/>
          <w:vertAlign w:val="superscript"/>
        </w:rPr>
        <w:t>c)</w:t>
      </w:r>
      <w:r>
        <w:rPr>
          <w:noProof/>
        </w:rPr>
        <w:t xml:space="preserve"> </w:t>
      </w:r>
      <w:r w:rsidR="00E639C8">
        <w:rPr>
          <w:noProof/>
        </w:rPr>
        <w:t>Department of Statistics and Quantitative Methods, University of Milano-Bicocca, Milan, Italy</w:t>
      </w:r>
      <w:r w:rsidR="00E639C8" w:rsidDel="00E639C8">
        <w:rPr>
          <w:noProof/>
        </w:rPr>
        <w:t xml:space="preserve"> </w:t>
      </w:r>
      <w:r w:rsidR="006D7E20">
        <w:rPr>
          <w:noProof/>
        </w:rPr>
        <w:br/>
      </w:r>
      <w:r w:rsidR="006D7E20" w:rsidRPr="00A21671">
        <w:rPr>
          <w:noProof/>
          <w:vertAlign w:val="superscript"/>
        </w:rPr>
        <w:t>d)</w:t>
      </w:r>
      <w:r w:rsidR="006D7E20">
        <w:rPr>
          <w:noProof/>
        </w:rPr>
        <w:t xml:space="preserve"> </w:t>
      </w:r>
      <w:r w:rsidR="00E639C8" w:rsidRPr="00E639C8">
        <w:rPr>
          <w:noProof/>
        </w:rPr>
        <w:t xml:space="preserve"> </w:t>
      </w:r>
      <w:r w:rsidR="00E639C8">
        <w:rPr>
          <w:noProof/>
        </w:rPr>
        <w:t>Department of Epidemiology, Erasmus University Medical Center, Rotterdam, The Netherlands</w:t>
      </w:r>
    </w:p>
    <w:p w14:paraId="21CEFEBB" w14:textId="5B96BAE8" w:rsidR="00D1483B" w:rsidRDefault="003B67A0">
      <w:pPr>
        <w:pStyle w:val="NoSpacing"/>
      </w:pPr>
      <w:proofErr w:type="gramStart"/>
      <w:r w:rsidRPr="00AE6354">
        <w:rPr>
          <w:lang w:val="en-GB"/>
        </w:rPr>
        <w:t>*</w:t>
      </w:r>
      <w:r w:rsidR="00B10E7A">
        <w:rPr>
          <w:vertAlign w:val="superscript"/>
        </w:rPr>
        <w:t>)</w:t>
      </w:r>
      <w:r w:rsidR="00B10E7A">
        <w:t xml:space="preserve"> Corresponding author.</w:t>
      </w:r>
      <w:proofErr w:type="gramEnd"/>
      <w:r w:rsidR="00B10E7A">
        <w:t xml:space="preserve"> Address: Department of Medical Informatics, Erasmus University Medical Center, P.O. 2040, 3000 CA Rotterdam, </w:t>
      </w:r>
      <w:proofErr w:type="gramStart"/>
      <w:r w:rsidR="00B10E7A">
        <w:t>The</w:t>
      </w:r>
      <w:proofErr w:type="gramEnd"/>
      <w:r w:rsidR="00B10E7A">
        <w:t xml:space="preserve"> Netherlands. </w:t>
      </w:r>
      <w:r w:rsidR="00DA57AE">
        <w:t xml:space="preserve">Phone: </w:t>
      </w:r>
      <w:r w:rsidR="00DA57AE" w:rsidRPr="00DA57AE">
        <w:t>+31 10 70 44 127</w:t>
      </w:r>
      <w:r w:rsidR="00DA57AE">
        <w:t xml:space="preserve">. </w:t>
      </w:r>
      <w:r w:rsidR="00B10E7A">
        <w:t xml:space="preserve">Email: </w:t>
      </w:r>
      <w:hyperlink r:id="rId9" w:history="1">
        <w:r w:rsidR="00AE1E12" w:rsidRPr="00802000">
          <w:rPr>
            <w:rStyle w:val="Hyperlink"/>
          </w:rPr>
          <w:t>b.becker@erasmusmc.nl</w:t>
        </w:r>
      </w:hyperlink>
    </w:p>
    <w:p w14:paraId="3A4BD384" w14:textId="4E0F0DF3" w:rsidR="00AE1E12" w:rsidRDefault="00AE1E12" w:rsidP="00AE1E12">
      <w:pPr>
        <w:pStyle w:val="Heading5"/>
      </w:pPr>
      <w:r>
        <w:t>Keywords</w:t>
      </w:r>
    </w:p>
    <w:p w14:paraId="13EBA57E" w14:textId="77777777" w:rsidR="00674B6B" w:rsidRDefault="00B10E7A">
      <w:pPr>
        <w:pStyle w:val="NoSpacing"/>
        <w:numPr>
          <w:ilvl w:val="0"/>
          <w:numId w:val="1"/>
        </w:numPr>
      </w:pPr>
      <w:r>
        <w:t>Web-application</w:t>
      </w:r>
    </w:p>
    <w:p w14:paraId="52388234" w14:textId="77777777" w:rsidR="00674B6B" w:rsidRDefault="00B10E7A">
      <w:pPr>
        <w:pStyle w:val="NoSpacing"/>
        <w:numPr>
          <w:ilvl w:val="0"/>
          <w:numId w:val="1"/>
        </w:numPr>
      </w:pPr>
      <w:r>
        <w:t>Database extraction</w:t>
      </w:r>
    </w:p>
    <w:p w14:paraId="5CE7DDE7" w14:textId="77777777" w:rsidR="00674B6B" w:rsidRDefault="00B10E7A">
      <w:pPr>
        <w:pStyle w:val="NoSpacing"/>
        <w:numPr>
          <w:ilvl w:val="0"/>
          <w:numId w:val="1"/>
        </w:numPr>
      </w:pPr>
      <w:r>
        <w:t xml:space="preserve">Concept identification </w:t>
      </w:r>
    </w:p>
    <w:p w14:paraId="4638DF07" w14:textId="77777777" w:rsidR="00674B6B" w:rsidRDefault="00B10E7A">
      <w:pPr>
        <w:pStyle w:val="NoSpacing"/>
        <w:numPr>
          <w:ilvl w:val="0"/>
          <w:numId w:val="1"/>
        </w:numPr>
      </w:pPr>
      <w:r>
        <w:t>Semantic operations</w:t>
      </w:r>
    </w:p>
    <w:p w14:paraId="0ED0EFE7" w14:textId="77777777" w:rsidR="00674B6B" w:rsidRDefault="00B10E7A">
      <w:pPr>
        <w:pStyle w:val="NoSpacing"/>
        <w:numPr>
          <w:ilvl w:val="0"/>
          <w:numId w:val="1"/>
        </w:numPr>
      </w:pPr>
      <w:r>
        <w:t>Multiple medical vocabularies</w:t>
      </w:r>
    </w:p>
    <w:p w14:paraId="00903B07" w14:textId="77777777" w:rsidR="00674B6B" w:rsidRDefault="00B10E7A">
      <w:pPr>
        <w:pStyle w:val="NoSpacing"/>
        <w:numPr>
          <w:ilvl w:val="0"/>
          <w:numId w:val="1"/>
        </w:numPr>
      </w:pPr>
      <w:r>
        <w:t xml:space="preserve">UMLS </w:t>
      </w:r>
    </w:p>
    <w:p w14:paraId="3835214F" w14:textId="6E092790" w:rsidR="00674B6B" w:rsidRDefault="00B10E7A">
      <w:pPr>
        <w:pStyle w:val="Heading5"/>
      </w:pPr>
      <w:r>
        <w:t>Take-home</w:t>
      </w:r>
    </w:p>
    <w:p w14:paraId="694B9C27" w14:textId="77777777" w:rsidR="00674B6B" w:rsidRDefault="00B10E7A">
      <w:pPr>
        <w:pStyle w:val="NoSpacing"/>
        <w:numPr>
          <w:ilvl w:val="0"/>
          <w:numId w:val="1"/>
        </w:numPr>
      </w:pPr>
      <w:r>
        <w:t>Web-application to assist mapping case definitions to code sets</w:t>
      </w:r>
    </w:p>
    <w:p w14:paraId="76D367FA" w14:textId="4BC90B46" w:rsidR="00194241" w:rsidRDefault="00194241" w:rsidP="00194241">
      <w:pPr>
        <w:pStyle w:val="NoSpacing"/>
        <w:numPr>
          <w:ilvl w:val="0"/>
          <w:numId w:val="1"/>
        </w:numPr>
      </w:pPr>
      <w:r>
        <w:t>Effective and efficient manual revision operations on medical concepts</w:t>
      </w:r>
    </w:p>
    <w:p w14:paraId="14B28246" w14:textId="77777777" w:rsidR="00674B6B" w:rsidRDefault="00B10E7A">
      <w:pPr>
        <w:pStyle w:val="NoSpacing"/>
        <w:numPr>
          <w:ilvl w:val="0"/>
          <w:numId w:val="1"/>
        </w:numPr>
      </w:pPr>
      <w:r>
        <w:t>Automatic identification of medical concepts in case definition</w:t>
      </w:r>
    </w:p>
    <w:p w14:paraId="1F3C85CF" w14:textId="77777777" w:rsidR="00674B6B" w:rsidRDefault="00B10E7A">
      <w:pPr>
        <w:pStyle w:val="NoSpacing"/>
        <w:numPr>
          <w:ilvl w:val="0"/>
          <w:numId w:val="1"/>
        </w:numPr>
      </w:pPr>
      <w:r>
        <w:t>Automatic creation of code sets from multiple medical terminologies</w:t>
      </w:r>
    </w:p>
    <w:p w14:paraId="4C38F393" w14:textId="77777777" w:rsidR="00674B6B" w:rsidRDefault="00B10E7A">
      <w:pPr>
        <w:pStyle w:val="NoSpacing"/>
        <w:rPr>
          <w:b/>
        </w:rPr>
      </w:pPr>
      <w:r>
        <w:rPr>
          <w:b/>
        </w:rPr>
        <w:t>Prior posting and presentation</w:t>
      </w:r>
    </w:p>
    <w:p w14:paraId="3FE52133" w14:textId="0F23698B" w:rsidR="00674B6B" w:rsidRDefault="009C77D9">
      <w:pPr>
        <w:pStyle w:val="NoSpacing"/>
      </w:pPr>
      <w:r>
        <w:t>P</w:t>
      </w:r>
      <w:r w:rsidR="00543A94">
        <w:t xml:space="preserve">arts </w:t>
      </w:r>
      <w:r w:rsidR="00B10E7A">
        <w:t>of this article ha</w:t>
      </w:r>
      <w:r w:rsidR="007E25CB">
        <w:t>ve</w:t>
      </w:r>
      <w:r w:rsidR="00B10E7A">
        <w:t xml:space="preserve"> been </w:t>
      </w:r>
      <w:r w:rsidR="00C03E4E">
        <w:t>presented on</w:t>
      </w:r>
      <w:r w:rsidR="00551513">
        <w:t xml:space="preserve"> </w:t>
      </w:r>
      <w:r w:rsidR="00B10E7A">
        <w:t xml:space="preserve">a poster </w:t>
      </w:r>
      <w:r w:rsidR="00C03E4E">
        <w:t>at</w:t>
      </w:r>
      <w:r w:rsidR="00067D44">
        <w:t xml:space="preserve"> </w:t>
      </w:r>
      <w:r w:rsidR="00B10E7A">
        <w:t>ICPE 2016.</w:t>
      </w:r>
    </w:p>
    <w:p w14:paraId="5437705A" w14:textId="77777777" w:rsidR="00674B6B" w:rsidRDefault="00B10E7A">
      <w:pPr>
        <w:pStyle w:val="NoSpacing"/>
        <w:rPr>
          <w:b/>
        </w:rPr>
      </w:pPr>
      <w:r>
        <w:rPr>
          <w:b/>
        </w:rPr>
        <w:t>Conflicts of interest</w:t>
      </w:r>
    </w:p>
    <w:p w14:paraId="6DDE09D4" w14:textId="0A801EC0" w:rsidR="00674B6B" w:rsidRDefault="002E6242">
      <w:pPr>
        <w:pStyle w:val="NoSpacing"/>
      </w:pPr>
      <w:r w:rsidRPr="002E6242">
        <w:rPr>
          <w:lang w:val="en-GB"/>
        </w:rPr>
        <w:t>The authors declare that they have no conflict of interest</w:t>
      </w:r>
      <w:r w:rsidR="00A16BB5">
        <w:rPr>
          <w:lang w:val="en-GB"/>
        </w:rPr>
        <w:t>.</w:t>
      </w:r>
    </w:p>
    <w:p w14:paraId="7A2C01BF" w14:textId="77777777" w:rsidR="00674B6B" w:rsidRDefault="00B10E7A">
      <w:pPr>
        <w:pStyle w:val="NoSpacing"/>
        <w:rPr>
          <w:b/>
        </w:rPr>
      </w:pPr>
      <w:r>
        <w:rPr>
          <w:b/>
        </w:rPr>
        <w:t>Sponsors</w:t>
      </w:r>
    </w:p>
    <w:p w14:paraId="50ACED03" w14:textId="718DA13C" w:rsidR="00674B6B" w:rsidRDefault="00B10E7A" w:rsidP="00F20FFD">
      <w:pPr>
        <w:pStyle w:val="NoSpacing"/>
      </w:pPr>
      <w:r>
        <w:t>The CodeMapper application was developed in the ADVANCE project. The research leading to CodeMapper has received support from the Innovative Medicines Initiative Joint Undertaking under ADVANCE grant agreement № 115557.</w:t>
      </w:r>
    </w:p>
    <w:p w14:paraId="660C9986" w14:textId="77777777" w:rsidR="005B1211" w:rsidRDefault="005B1211" w:rsidP="005B1211">
      <w:pPr>
        <w:pStyle w:val="NoSpacing"/>
      </w:pPr>
      <w:r>
        <w:t>Word count: 3,316</w:t>
      </w:r>
    </w:p>
    <w:p w14:paraId="41452804" w14:textId="77777777" w:rsidR="00674B6B" w:rsidRDefault="00B10E7A">
      <w:pPr>
        <w:pStyle w:val="Heading1"/>
      </w:pPr>
      <w:r>
        <w:lastRenderedPageBreak/>
        <w:t>Abstract</w:t>
      </w:r>
    </w:p>
    <w:p w14:paraId="151D015D" w14:textId="77777777" w:rsidR="00674B6B" w:rsidRDefault="00B10E7A">
      <w:pPr>
        <w:pStyle w:val="Heading5"/>
      </w:pPr>
      <w:r>
        <w:t>Background</w:t>
      </w:r>
    </w:p>
    <w:p w14:paraId="14CA1372" w14:textId="6E836C33" w:rsidR="00674B6B" w:rsidRDefault="00B10E7A">
      <w:r>
        <w:t>Assessment of drug and vaccine effects by combining information from different healthcare databases</w:t>
      </w:r>
      <w:r w:rsidR="0056569B">
        <w:t xml:space="preserve"> in the European Union</w:t>
      </w:r>
      <w:r>
        <w:t xml:space="preserve"> requires extensive efforts in the harmonization of codes </w:t>
      </w:r>
      <w:r w:rsidR="0056569B">
        <w:t xml:space="preserve">as different </w:t>
      </w:r>
      <w:r>
        <w:t xml:space="preserve">vocabularies </w:t>
      </w:r>
      <w:r w:rsidR="0056569B">
        <w:t xml:space="preserve">are </w:t>
      </w:r>
      <w:r>
        <w:t xml:space="preserve">being used </w:t>
      </w:r>
      <w:r w:rsidR="0056569B">
        <w:t>across countries</w:t>
      </w:r>
      <w:r>
        <w:t xml:space="preserve">. In this paper, we present a web application called CodeMapper, which assists in the mapping of case definitions to codes from different vocabularies, while keeping a transparent record of the complete mapping process. </w:t>
      </w:r>
    </w:p>
    <w:p w14:paraId="2758BAE8" w14:textId="77777777" w:rsidR="00674B6B" w:rsidRDefault="00B10E7A">
      <w:pPr>
        <w:pStyle w:val="Heading5"/>
      </w:pPr>
      <w:r>
        <w:t>Methods</w:t>
      </w:r>
    </w:p>
    <w:p w14:paraId="12071C7E" w14:textId="01C1B465" w:rsidR="00674B6B" w:rsidRDefault="00B10E7A">
      <w:r>
        <w:t xml:space="preserve">CodeMapper builds upon coding vocabularies contained in the Metathesaurus of the Unified Medical Language System. The mapping approach consists of three phases. </w:t>
      </w:r>
      <w:r w:rsidR="0056569B">
        <w:t>First, m</w:t>
      </w:r>
      <w:r>
        <w:t xml:space="preserve">edical concepts are automatically identified in a free-text case definition. </w:t>
      </w:r>
      <w:r w:rsidR="0056569B">
        <w:t>Second, t</w:t>
      </w:r>
      <w:r>
        <w:t>he user revises the set of medical concepts by adding or removing concepts, or expanding them to related concepts that are more general or more specific. Finally, the selected concepts are projected to codes from the targeted coding vocabularies. We evaluate</w:t>
      </w:r>
      <w:r w:rsidR="0056569B">
        <w:t>d</w:t>
      </w:r>
      <w:r>
        <w:t xml:space="preserve"> the application by comparing codes that </w:t>
      </w:r>
      <w:r w:rsidR="00CB7E36">
        <w:t>were</w:t>
      </w:r>
      <w:r w:rsidR="00E70EC4">
        <w:t xml:space="preserve"> </w:t>
      </w:r>
      <w:r>
        <w:t xml:space="preserve">automatically generated </w:t>
      </w:r>
      <w:r w:rsidR="001F6D8D">
        <w:t xml:space="preserve">from case definitions </w:t>
      </w:r>
      <w:r w:rsidR="00CA7B05">
        <w:t>by applying</w:t>
      </w:r>
      <w:r w:rsidR="00CB7E36">
        <w:t xml:space="preserve"> CodeMapper’s </w:t>
      </w:r>
      <w:r>
        <w:t>concept identification</w:t>
      </w:r>
      <w:r w:rsidR="00CA7B05">
        <w:t xml:space="preserve"> </w:t>
      </w:r>
      <w:r>
        <w:t>a</w:t>
      </w:r>
      <w:r w:rsidR="005D1F00">
        <w:t>nd successive concept expansion</w:t>
      </w:r>
      <w:r>
        <w:t xml:space="preserve">, with </w:t>
      </w:r>
      <w:r w:rsidR="00966800">
        <w:t>reference code</w:t>
      </w:r>
      <w:r>
        <w:t xml:space="preserve">s that were manually created </w:t>
      </w:r>
      <w:r w:rsidR="00164F70">
        <w:t>in a</w:t>
      </w:r>
      <w:r>
        <w:t xml:space="preserve"> </w:t>
      </w:r>
      <w:r w:rsidR="0056569B">
        <w:t xml:space="preserve">previous </w:t>
      </w:r>
      <w:r>
        <w:t>epidemiological stud</w:t>
      </w:r>
      <w:r w:rsidR="00164F70">
        <w:t>y</w:t>
      </w:r>
      <w:r w:rsidR="00CB7E36">
        <w:t>.</w:t>
      </w:r>
    </w:p>
    <w:p w14:paraId="35DCC8D1" w14:textId="77777777" w:rsidR="00674B6B" w:rsidRDefault="00B10E7A">
      <w:pPr>
        <w:pStyle w:val="Heading5"/>
      </w:pPr>
      <w:r>
        <w:t>Results</w:t>
      </w:r>
    </w:p>
    <w:p w14:paraId="7210D8DB" w14:textId="786F5612" w:rsidR="00674B6B" w:rsidRDefault="0056569B">
      <w:r>
        <w:t>Automated c</w:t>
      </w:r>
      <w:r w:rsidR="00B10E7A">
        <w:t xml:space="preserve">oncept identification </w:t>
      </w:r>
      <w:r>
        <w:t xml:space="preserve">alone </w:t>
      </w:r>
      <w:r w:rsidR="00B10E7A">
        <w:t xml:space="preserve">had a sensitivity of 0.246 and positive predictive value (PPV) of 0.420 for reproducing the reference codes. </w:t>
      </w:r>
      <w:r w:rsidR="00151162">
        <w:t>T</w:t>
      </w:r>
      <w:r w:rsidR="00B10E7A">
        <w:t xml:space="preserve">hree </w:t>
      </w:r>
      <w:r w:rsidR="00151162">
        <w:t xml:space="preserve">successive </w:t>
      </w:r>
      <w:r w:rsidR="00B10E7A">
        <w:t xml:space="preserve">steps of concept expansion </w:t>
      </w:r>
      <w:r>
        <w:t xml:space="preserve">increased </w:t>
      </w:r>
      <w:r w:rsidR="00B10E7A">
        <w:t>sensitivity to 0.953 and PPV to 0.616.</w:t>
      </w:r>
    </w:p>
    <w:p w14:paraId="0B5C4F16" w14:textId="77777777" w:rsidR="00674B6B" w:rsidRDefault="00B10E7A">
      <w:pPr>
        <w:pStyle w:val="Heading5"/>
      </w:pPr>
      <w:r>
        <w:t>Conclusions</w:t>
      </w:r>
    </w:p>
    <w:p w14:paraId="1DC91FF4" w14:textId="4C0CFBC0" w:rsidR="00937799" w:rsidRPr="00F6740F" w:rsidRDefault="00B10E7A" w:rsidP="00F6740F">
      <w:r>
        <w:t>Automatic concept identification in the case definition alone was insufficient to reproduce the reference codes, but CodeMapper’s operations for concept expansion provide an effective</w:t>
      </w:r>
      <w:r w:rsidR="0056569B">
        <w:t xml:space="preserve">, </w:t>
      </w:r>
      <w:r>
        <w:t xml:space="preserve">efficient </w:t>
      </w:r>
      <w:r w:rsidR="0056569B">
        <w:t xml:space="preserve">and transparent </w:t>
      </w:r>
      <w:r>
        <w:t>way for reproducing the reference codes.</w:t>
      </w:r>
    </w:p>
    <w:p w14:paraId="5F0B16BC" w14:textId="4C7ACAF6" w:rsidR="00674B6B" w:rsidRDefault="00B10E7A">
      <w:pPr>
        <w:pStyle w:val="Heading1"/>
      </w:pPr>
      <w:r>
        <w:lastRenderedPageBreak/>
        <w:t>Introduction</w:t>
      </w:r>
    </w:p>
    <w:p w14:paraId="4774173E" w14:textId="77C087C3" w:rsidR="0009713D" w:rsidRDefault="00B10E7A" w:rsidP="00624F07">
      <w:r>
        <w:t>In order to increase the scale of pharmacoepidemiological studies, information from multiple electronic health record (EHR) databases should be combined in a distributed, collaborative fashion</w:t>
      </w:r>
      <w:r w:rsidR="00E257CA">
        <w:t>.</w:t>
      </w:r>
      <w:r w:rsidR="0051554E">
        <w:fldChar w:fldCharType="begin"/>
      </w:r>
      <w:r w:rsidR="00162E1E">
        <w:instrText xml:space="preserve"> ADDIN ZOTERO_ITEM CSL_CITATION {"citationID":"25b0ue0sgs","properties":{"formattedCitation":"{\\rtf \\super 1\\nosupersub{}}","plainCitation":"1"},"citationItems":[{"id":67,"uris":["http://zotero.org/users/2673476/items/GUUGEDZN"],"uri":["http://zotero.org/users/2673476/items/GUUGEDZN"],"itemData":{"id":67,"type":"article-journal","title":"Combining multiple healthcare databases for postmarketing drug and vaccine safety surveillance: Why and how?","container-title":"Journal of internal medicine","page":"551–561","volume":"275","issue":"6","author":[{"family":"Trifirò","given":"Gianluca"},{"family":"Coloma","given":"PM"},{"family":"Rijnbeek","given":"PR"},{"family":"Romio","given":"Silvana"},{"family":"Mosseveld","given":"B"},{"family":"Weibel","given":"Daniel"},{"family":"Bonhoeffer","given":"Jan"},{"family":"Schuemie","given":"Martijn"},{"family":"Lei","given":"J"},{"family":"Sturkenboom","given":"Miriam"}],"issued":{"date-parts":[["2014"]]}}}],"schema":"https://github.com/citation-style-language/schema/raw/master/csl-citation.json"} </w:instrText>
      </w:r>
      <w:r w:rsidR="0051554E">
        <w:fldChar w:fldCharType="separate"/>
      </w:r>
      <w:r w:rsidR="00162E1E" w:rsidRPr="00162E1E">
        <w:rPr>
          <w:rFonts w:ascii="Calibri" w:hAnsi="Calibri"/>
          <w:szCs w:val="24"/>
          <w:vertAlign w:val="superscript"/>
        </w:rPr>
        <w:t>1</w:t>
      </w:r>
      <w:r w:rsidR="0051554E">
        <w:fldChar w:fldCharType="end"/>
      </w:r>
      <w:r>
        <w:t xml:space="preserve"> However, EHR databases use different coding vocabularies to record medical information</w:t>
      </w:r>
      <w:r w:rsidR="00E257CA">
        <w:t>,</w:t>
      </w:r>
      <w:r w:rsidR="00025520">
        <w:fldChar w:fldCharType="begin"/>
      </w:r>
      <w:r w:rsidR="00025520">
        <w:instrText xml:space="preserve"> ADDIN ZOTERO_ITEM CSL_CITATION {"citationID":"ocrslspa8","properties":{"formattedCitation":"{\\rtf \\super 2,3\\nosupersub{}}","plainCitation":"2,3"},"citationItems":[{"id":56,"uris":["http://zotero.org/users/2673476/items/EERDJSEB"],"uri":["http://zotero.org/users/2673476/items/EERDJSEB"],"itemData":{"id":56,"type":"article-journal","title":"A survey to identify the clinical coding and classification systems currently in use across Europe","container-title":"Studies in health technology and informatics","page":"86–89","issue":"1","author":[{"family":"Lusignan","given":"Simon","non-dropping-particle":"de"},{"family":"Minmagh","given":"Christopher"},{"family":"Kennedy","given":"John"},{"family":"Zeimet","given":"Marco"},{"family":"Bommezijn","given":"Hans"},{"family":"Bryant","given":"John"}],"issued":{"date-parts":[["2001"]]}}},{"id":281,"uris":["http://zotero.org/users/2673476/items/KJGWM2UE"],"uri":["http://zotero.org/users/2673476/items/KJGWM2UE"],"itemData":{"id":281,"type":"article-journal","title":"Codes, classifications, terminologies and nomenclatures: definition, development and application in practice","container-title":"Journal of Innovation in Health Informatics","page":"65–69","volume":"13","issue":"1","source":"Google Scholar","shortTitle":"Codes, classifications, terminologies and nomenclatures","author":[{"family":"Lusignan","given":"Simon","non-dropping-particle":"de"}],"issued":{"date-parts":[["2005"]]}}}],"schema":"https://github.com/citation-style-language/schema/raw/master/csl-citation.json"} </w:instrText>
      </w:r>
      <w:r w:rsidR="00025520">
        <w:fldChar w:fldCharType="separate"/>
      </w:r>
      <w:r w:rsidR="00025520" w:rsidRPr="00025520">
        <w:rPr>
          <w:rFonts w:ascii="Calibri" w:hAnsi="Calibri"/>
          <w:szCs w:val="24"/>
          <w:vertAlign w:val="superscript"/>
        </w:rPr>
        <w:t>2,3</w:t>
      </w:r>
      <w:r w:rsidR="00025520">
        <w:fldChar w:fldCharType="end"/>
      </w:r>
      <w:r>
        <w:t xml:space="preserve"> such as the International Classification of Diseases</w:t>
      </w:r>
      <w:r w:rsidR="007C6ED2">
        <w:t xml:space="preserve"> </w:t>
      </w:r>
      <w:r w:rsidR="00F5498B">
        <w:t xml:space="preserve">version </w:t>
      </w:r>
      <w:r w:rsidR="007C6ED2">
        <w:t>9 Clinical Modifications</w:t>
      </w:r>
      <w:r w:rsidR="00C65330">
        <w:t xml:space="preserve"> (ICD</w:t>
      </w:r>
      <w:r w:rsidR="00C65330">
        <w:noBreakHyphen/>
      </w:r>
      <w:r w:rsidR="00C65330" w:rsidRPr="00C65330">
        <w:t>9</w:t>
      </w:r>
      <w:r w:rsidR="00C65330">
        <w:t> </w:t>
      </w:r>
      <w:r w:rsidR="00B650AD" w:rsidRPr="00C65330">
        <w:t>CM</w:t>
      </w:r>
      <w:r w:rsidR="00E257CA">
        <w:t>)</w:t>
      </w:r>
      <w:r w:rsidR="00F5498B">
        <w:fldChar w:fldCharType="begin"/>
      </w:r>
      <w:r w:rsidR="00F5498B">
        <w:instrText xml:space="preserve"> ADDIN ZOTERO_ITEM CSL_CITATION {"citationID":"1r1ad4e0lf","properties":{"formattedCitation":"{\\rtf \\super 4\\nosupersub{}}","plainCitation":"4"},"citationItems":[{"id":105,"uris":["http://zotero.org/users/2673476/items/R8H5HS8Z"],"uri":["http://zotero.org/users/2673476/items/R8H5HS8Z"],"itemData":{"id":105,"type":"book","title":"ICD 9 CM. The International Classification of Diseases. 9. Rev: Clinical Modification.; Vol. 1: Diseases: Tabular List. ; Vol. 2: Diseases: Alphabetic Index. ; Vol. 3: Procedures: Tabular List and Alphabetic Index.","publisher":"US Government Printing Office","author":[{"literal":"US Department of Health and Human Services and others"}],"issued":{"date-parts":[["1980"]]}}}],"schema":"https://github.com/citation-style-language/schema/raw/master/csl-citation.json"} </w:instrText>
      </w:r>
      <w:r w:rsidR="00F5498B">
        <w:fldChar w:fldCharType="separate"/>
      </w:r>
      <w:r w:rsidR="00F5498B" w:rsidRPr="00025520">
        <w:rPr>
          <w:rFonts w:ascii="Calibri" w:hAnsi="Calibri"/>
          <w:szCs w:val="24"/>
          <w:vertAlign w:val="superscript"/>
        </w:rPr>
        <w:t>4</w:t>
      </w:r>
      <w:r w:rsidR="00F5498B">
        <w:fldChar w:fldCharType="end"/>
      </w:r>
      <w:r w:rsidR="00162E1E">
        <w:t xml:space="preserve"> </w:t>
      </w:r>
      <w:r w:rsidR="00A162B3">
        <w:t xml:space="preserve">and </w:t>
      </w:r>
      <w:r w:rsidR="00F5498B">
        <w:t>version 10</w:t>
      </w:r>
      <w:r w:rsidR="00B650AD">
        <w:t xml:space="preserve"> (ICD</w:t>
      </w:r>
      <w:r w:rsidR="00B650AD">
        <w:noBreakHyphen/>
        <w:t>10</w:t>
      </w:r>
      <w:r w:rsidR="00E257CA">
        <w:t>)</w:t>
      </w:r>
      <w:r w:rsidR="000A7779">
        <w:t>,</w:t>
      </w:r>
      <w:r w:rsidR="00F5498B">
        <w:fldChar w:fldCharType="begin"/>
      </w:r>
      <w:r w:rsidR="00F5498B">
        <w:instrText xml:space="preserve"> ADDIN ZOTERO_ITEM CSL_CITATION {"citationID":"1m49tf1mic","properties":{"formattedCitation":"{\\rtf \\super 5\\nosupersub{}}","plainCitation":"5"},"citationItems":[{"id":29,"uris":["http://zotero.org/users/2673476/items/83QSKJVF"],"uri":["http://zotero.org/users/2673476/items/83QSKJVF"],"itemData":{"id":29,"type":"article-journal","title":"The 10th revision of the International Classification of Diseases","container-title":"Revue d'epidemiologie et de sante publique","page":"253–255","volume":"41","issue":"3","author":[{"family":"Pavillon","given":"G"},{"family":"Maguin","given":"P"}],"issued":{"date-parts":[["1992"]]}}}],"schema":"https://github.com/citation-style-language/schema/raw/master/csl-citation.json"} </w:instrText>
      </w:r>
      <w:r w:rsidR="00F5498B">
        <w:fldChar w:fldCharType="separate"/>
      </w:r>
      <w:r w:rsidR="00F5498B" w:rsidRPr="00025520">
        <w:rPr>
          <w:rFonts w:ascii="Calibri" w:hAnsi="Calibri"/>
          <w:szCs w:val="24"/>
          <w:vertAlign w:val="superscript"/>
        </w:rPr>
        <w:t>5</w:t>
      </w:r>
      <w:r w:rsidR="00F5498B">
        <w:fldChar w:fldCharType="end"/>
      </w:r>
      <w:r>
        <w:t xml:space="preserve"> the International Class</w:t>
      </w:r>
      <w:r w:rsidR="00624F07">
        <w:t>ification of Primary Care</w:t>
      </w:r>
      <w:r w:rsidR="00221BB2">
        <w:t xml:space="preserve"> Version 2</w:t>
      </w:r>
      <w:r w:rsidR="00B650AD">
        <w:t xml:space="preserve"> (ICPC</w:t>
      </w:r>
      <w:r w:rsidR="00B650AD">
        <w:noBreakHyphen/>
        <w:t>2</w:t>
      </w:r>
      <w:r w:rsidR="00E257CA">
        <w:t>)</w:t>
      </w:r>
      <w:r w:rsidR="000A7779">
        <w:t>,</w:t>
      </w:r>
      <w:r w:rsidR="00221BB2">
        <w:fldChar w:fldCharType="begin"/>
      </w:r>
      <w:r w:rsidR="00221BB2">
        <w:instrText xml:space="preserve"> ADDIN ZOTERO_ITEM CSL_CITATION {"citationID":"26krdr333h","properties":{"formattedCitation":"{\\rtf \\super 6\\nosupersub{}}","plainCitation":"6"},"citationItems":[{"id":73,"uris":["http://zotero.org/users/2673476/items/I9NUBIXM"],"uri":["http://zotero.org/users/2673476/items/I9NUBIXM"],"itemData":{"id":73,"type":"article-journal","title":"ICPC-2, International Classification of Primary Care","author":[{"family":"Lamberts","given":"Henk"},{"family":"Okkes","given":"IM"},{"literal":"others"}],"issued":{"date-parts":[["1998"]]}}}],"schema":"https://github.com/citation-style-language/schema/raw/master/csl-citation.json"} </w:instrText>
      </w:r>
      <w:r w:rsidR="00221BB2">
        <w:fldChar w:fldCharType="separate"/>
      </w:r>
      <w:r w:rsidR="00221BB2" w:rsidRPr="00025520">
        <w:rPr>
          <w:rFonts w:ascii="Calibri" w:hAnsi="Calibri"/>
          <w:szCs w:val="24"/>
          <w:vertAlign w:val="superscript"/>
        </w:rPr>
        <w:t>6</w:t>
      </w:r>
      <w:r w:rsidR="00221BB2">
        <w:fldChar w:fldCharType="end"/>
      </w:r>
      <w:r w:rsidR="006D6758">
        <w:t xml:space="preserve"> </w:t>
      </w:r>
      <w:r w:rsidR="004A1EC9">
        <w:t xml:space="preserve">Read codes </w:t>
      </w:r>
      <w:r w:rsidR="00F10897">
        <w:t>version 2</w:t>
      </w:r>
      <w:r w:rsidR="00B650AD">
        <w:t xml:space="preserve"> (Read-2</w:t>
      </w:r>
      <w:r w:rsidR="00E257CA">
        <w:t>)</w:t>
      </w:r>
      <w:r w:rsidR="00221BB2">
        <w:fldChar w:fldCharType="begin"/>
      </w:r>
      <w:r w:rsidR="00221BB2">
        <w:instrText xml:space="preserve"> ADDIN ZOTERO_ITEM CSL_CITATION {"citationID":"2gbdaluujq","properties":{"formattedCitation":"{\\rtf \\super 7\\nosupersub{}}","plainCitation":"7"},"citationItems":[{"id":98,"uris":["http://zotero.org/users/2673476/items/Q8R2IVPJ"],"uri":["http://zotero.org/users/2673476/items/Q8R2IVPJ"],"itemData":{"id":98,"type":"paper-conference","title":"Terming, Encoding, Grouping, The Language of Health","container-title":"Proceedings International Medical Information Association's 8th World Congress on Medical Informatics. Vancouver","source":"Google Scholar","author":[{"family":"Read","given":"J. D."},{"family":"Sanderson","given":"H. F."},{"family":"Sutton","given":"Y. M."}],"issued":{"date-parts":[["1995"]]}}}],"schema":"https://github.com/citation-style-language/schema/raw/master/csl-citation.json"} </w:instrText>
      </w:r>
      <w:r w:rsidR="00221BB2">
        <w:fldChar w:fldCharType="separate"/>
      </w:r>
      <w:r w:rsidR="00221BB2" w:rsidRPr="00025520">
        <w:rPr>
          <w:rFonts w:ascii="Calibri" w:hAnsi="Calibri"/>
          <w:szCs w:val="24"/>
          <w:vertAlign w:val="superscript"/>
        </w:rPr>
        <w:t>7</w:t>
      </w:r>
      <w:r w:rsidR="00221BB2">
        <w:fldChar w:fldCharType="end"/>
      </w:r>
      <w:r w:rsidR="00F20829">
        <w:t xml:space="preserve"> </w:t>
      </w:r>
      <w:r w:rsidR="006D6758">
        <w:t>and</w:t>
      </w:r>
      <w:r w:rsidR="009C6899">
        <w:t xml:space="preserve"> </w:t>
      </w:r>
      <w:r w:rsidR="00F10897">
        <w:t xml:space="preserve">Read </w:t>
      </w:r>
      <w:r>
        <w:t>C</w:t>
      </w:r>
      <w:r w:rsidR="00FC5E84">
        <w:t xml:space="preserve">linical </w:t>
      </w:r>
      <w:r>
        <w:t>T</w:t>
      </w:r>
      <w:r w:rsidR="00FC5E84">
        <w:t>erm</w:t>
      </w:r>
      <w:r w:rsidR="00147ED6">
        <w:t>s</w:t>
      </w:r>
      <w:r w:rsidR="00FC5E84">
        <w:t xml:space="preserve"> version </w:t>
      </w:r>
      <w:r>
        <w:t>3</w:t>
      </w:r>
      <w:r w:rsidR="00B650AD">
        <w:t xml:space="preserve"> (CTv3</w:t>
      </w:r>
      <w:r w:rsidR="00E257CA">
        <w:t>)</w:t>
      </w:r>
      <w:r w:rsidR="00221BB2">
        <w:fldChar w:fldCharType="begin"/>
      </w:r>
      <w:r w:rsidR="00221BB2">
        <w:instrText xml:space="preserve"> ADDIN ZOTERO_ITEM CSL_CITATION {"citationID":"hpJdHfFW","properties":{"formattedCitation":"{\\rtf \\super 8\\nosupersub{}}","plainCitation":"8"},"citationItems":[{"id":65,"uris":["http://zotero.org/users/2673476/items/GRPRSRKF"],"uri":["http://zotero.org/users/2673476/items/GRPRSRKF"],"itemData":{"id":65,"type":"article-journal","title":"Read Codes Version 3: a user led terminology.","container-title":"Methods of information in medicine","page":"187–192","volume":"34","issue":"1-2","author":[{"family":"O'Neil","given":"M"},{"family":"Payne","given":"C"},{"family":"Read","given":"J"}],"issued":{"date-parts":[["1995"]]}}}],"schema":"https://github.com/citation-style-language/schema/raw/master/csl-citation.json"} </w:instrText>
      </w:r>
      <w:r w:rsidR="00221BB2">
        <w:fldChar w:fldCharType="separate"/>
      </w:r>
      <w:r w:rsidR="00221BB2" w:rsidRPr="00025520">
        <w:rPr>
          <w:rFonts w:ascii="Calibri" w:hAnsi="Calibri"/>
          <w:szCs w:val="24"/>
          <w:vertAlign w:val="superscript"/>
        </w:rPr>
        <w:t>8</w:t>
      </w:r>
      <w:r w:rsidR="00221BB2">
        <w:fldChar w:fldCharType="end"/>
      </w:r>
      <w:r>
        <w:t>.</w:t>
      </w:r>
      <w:r w:rsidR="006F0081">
        <w:t xml:space="preserve"> </w:t>
      </w:r>
      <w:r>
        <w:t>In multi-database studies, the extraction of an event typically requires several steps to achieve consistency between databases.</w:t>
      </w:r>
      <w:r w:rsidR="000D0436">
        <w:t xml:space="preserve"> </w:t>
      </w:r>
      <w:r w:rsidR="000C083B">
        <w:t>A</w:t>
      </w:r>
      <w:r>
        <w:t xml:space="preserve"> case definition </w:t>
      </w:r>
      <w:r w:rsidR="000C083B">
        <w:t>that describes the event in the study protocol is</w:t>
      </w:r>
      <w:r w:rsidR="004875B3">
        <w:t xml:space="preserve"> translated into a</w:t>
      </w:r>
      <w:r w:rsidR="00AE21DC">
        <w:t>n</w:t>
      </w:r>
      <w:r w:rsidR="004875B3">
        <w:t xml:space="preserve"> operational definition, which is</w:t>
      </w:r>
      <w:r w:rsidR="00AE04D0">
        <w:t xml:space="preserve"> </w:t>
      </w:r>
      <w:r w:rsidR="00E52483">
        <w:t xml:space="preserve">then </w:t>
      </w:r>
      <w:r>
        <w:t xml:space="preserve">mapped for each vocabulary into a set of codes that represents the event. The code sets are combined into queries for case identification and harmonized between databases by comparison with benchmarks from the literature and by feedback from the database custodians. </w:t>
      </w:r>
    </w:p>
    <w:p w14:paraId="4BAC8368" w14:textId="54CDF6C6" w:rsidR="00674B6B" w:rsidRDefault="00B10E7A">
      <w:r>
        <w:t xml:space="preserve">The creation of code sets for each vocabulary from the textual case definitions has been largely a manual process. Given the number and complexity of the targeted vocabularies, the mapping and harmonization process can pose an important bottleneck to the rapid implementation of collaborative epidemiological </w:t>
      </w:r>
      <w:r w:rsidR="00E257CA">
        <w:t>studies.</w:t>
      </w:r>
      <w:r w:rsidR="00C30443">
        <w:fldChar w:fldCharType="begin"/>
      </w:r>
      <w:r w:rsidR="003B067F">
        <w:instrText xml:space="preserve"> ADDIN ZOTERO_ITEM CSL_CITATION {"citationID":"oSzqmF3v","properties":{"formattedCitation":"{\\rtf \\super 9,10\\nosupersub{}}","plainCitation":"9,10"},"citationItems":[{"id":47,"uris":["http://zotero.org/users/2673476/items/CWW46Z9F"],"uri":["http://zotero.org/users/2673476/items/CWW46Z9F"],"itemData":{"id":47,"type":"article-journal","title":"Data Extraction and Management In Networks Of Observational Health Care Databases For Scientific Research: A Comparison Among EU-ADR, OMOP, Mini-Sentinel And MATRICE Strategies","container-title":"eGEMs (Generating Evidence &amp; Methods to improve patient outcomes)","volume":"4","issue":"1","URL":"http://repository.edm-forum.org/egems/vol4/iss1/2","DOI":"http://dx.doi.org/10.13063/2327-9214.1189","author":[{"family":"Gini","given":"Rosa"},{"family":"Schuemie","given":"Martijn"},{"family":"Brown","given":"Jeffrey"},{"family":"Ryan","given":"Patrick"},{"family":"Vacchi","given":"Edoardo"},{"family":"Coppola","given":"Massimo"},{"family":"Cazzola","given":"Walter"},{"family":"Coloma","given":"Preciosa"},{"family":"Berni","given":"Roberto"},{"family":"Diallo","given":"Gayo"},{"family":"Oliveira","given":"Josè Luis"},{"family":"Avillach","given":"Paul"},{"family":"Trifirò","given":"Gianluca"},{"family":"Rijnbeek","given":"Peter"},{"family":"Bellentani","given":"Mariadonata"},{"family":"Der Lei","given":"Johan","non-dropping-particle":"van"},{"family":"Klazinga","given":"Niek"},{"family":"Sturkenboom","given":"Miriam"}],"issued":{"date-parts":[["2016"]]}}},{"id":4,"uris":["http://zotero.org/users/2673476/items/2FQ9WCKE"],"uri":["http://zotero.org/users/2673476/items/2FQ9WCKE"],"itemData":{"id":4,"type":"article-journal","title":"Design and evaluation of a semantic approach for the homogeneous identification of events in eight patient databases: A contribution to the European EU-ADR project.","container-title":"Studies in health technology and informatics","page":"1085–1089","volume":"160","issue":"Pt 2","author":[{"family":"Avillach","given":"Paul"},{"family":"Joubert","given":"Michel"},{"family":"Thiessard","given":"Frantz"},{"family":"Trifirò","given":"Gianluca"},{"family":"Dufour","given":"Jean-Charles"},{"family":"Pariente","given":"Antoine"},{"family":"Mougin","given":"Fleur"},{"family":"Polimeni","given":"Giovanni"},{"family":"Catania","given":"Maria Antonietta"},{"family":"Giaquinto","given":"Carlo"},{"literal":"others"}],"issued":{"date-parts":[["2009"]]}}}],"schema":"https://github.com/citation-style-language/schema/raw/master/csl-citation.json"} </w:instrText>
      </w:r>
      <w:r w:rsidR="00C30443">
        <w:fldChar w:fldCharType="separate"/>
      </w:r>
      <w:r w:rsidR="003B067F" w:rsidRPr="003B067F">
        <w:rPr>
          <w:rFonts w:ascii="Calibri" w:hAnsi="Calibri"/>
          <w:szCs w:val="24"/>
          <w:vertAlign w:val="superscript"/>
        </w:rPr>
        <w:t>9,10</w:t>
      </w:r>
      <w:r w:rsidR="00C30443">
        <w:fldChar w:fldCharType="end"/>
      </w:r>
      <w:r w:rsidR="00C30443">
        <w:t xml:space="preserve"> </w:t>
      </w:r>
      <w:r>
        <w:t>Furthermore, the rationale for including o</w:t>
      </w:r>
      <w:r w:rsidR="00C3122D">
        <w:t>r excluding individual codes is</w:t>
      </w:r>
      <w:r>
        <w:t xml:space="preserve"> not </w:t>
      </w:r>
      <w:r w:rsidR="0056569B">
        <w:t xml:space="preserve">consistently </w:t>
      </w:r>
      <w:r>
        <w:t>documented, which hampers the possible reuse of code sets and queries in subsequent studies.</w:t>
      </w:r>
    </w:p>
    <w:p w14:paraId="7F407FB9" w14:textId="5BD63F1E" w:rsidR="00D32961" w:rsidRDefault="00B10E7A" w:rsidP="00AB51CE">
      <w:r>
        <w:t>A previous attempt to accelerate the creation of code sets from multiple vocabularies was made in the EU</w:t>
      </w:r>
      <w:r w:rsidR="00561A85">
        <w:noBreakHyphen/>
      </w:r>
      <w:r>
        <w:t>ADR project</w:t>
      </w:r>
      <w:r w:rsidR="00E257CA">
        <w:t>.</w:t>
      </w:r>
      <w:r w:rsidR="0051554E">
        <w:fldChar w:fldCharType="begin"/>
      </w:r>
      <w:r w:rsidR="003B067F">
        <w:instrText xml:space="preserve"> ADDIN ZOTERO_ITEM CSL_CITATION {"citationID":"lXqsNRXj","properties":{"formattedCitation":"{\\rtf \\super 10\\uc0\\u8211{}12\\nosupersub{}}","plainCitation":"10–12"},"citationItems":[{"id":4,"uris":["http://zotero.org/users/2673476/items/2FQ9WCKE"],"uri":["http://zotero.org/users/2673476/items/2FQ9WCKE"],"itemData":{"id":4,"type":"article-journal","title":"Design and evaluation of a semantic approach for the homogeneous identification of events in eight patient databases: A contribution to the European EU-ADR project.","container-title":"Studies in health technology and informatics","page":"1085–1089","volume":"160","issue":"Pt 2","author":[{"family":"Avillach","given":"Paul"},{"family":"Joubert","given":"Michel"},{"family":"Thiessard","given":"Frantz"},{"family":"Trifirò","given":"Gianluca"},{"family":"Dufour","given":"Jean-Charles"},{"family":"Pariente","given":"Antoine"},{"family":"Mougin","given":"Fleur"},{"family":"Polimeni","given":"Giovanni"},{"family":"Catania","given":"Maria Antonietta"},{"family":"Giaquinto","given":"Carlo"},{"literal":"others"}],"issued":{"date-parts":[["2009"]]}}},{"id":28,"uris":["http://zotero.org/users/2673476/items/7NP2CUJ5"],"uri":["http://zotero.org/users/2673476/items/7NP2CUJ5"],"itemData":{"id":28,"type":"article-journal","title":"Harmonization process for the identification of medical events in eight European healthcare databases: the experience from the EU-ADR project","container-title":"Journal of the American Medical Informatics Association","page":"184-192","volume":"20","issue":"1","source":"jamia.oxfordjournals.org","abstract":"Objective Data from electronic healthcare records (EHR) can be used to monitor drug safety, but in order to compare and pool data from different EHR databases, the extraction of potential adverse events must be harmonized. In this paper, we describe the procedure used for harmonizing the extraction from eight European EHR databases of five events of interest deemed to be important in pharmacovigilance: acute myocardial infarction (AMI); acute renal failure (ARF); anaphylactic shock (AS); bullous eruption (BE); and rhabdomyolysis (RHABD).Design The participating databases comprise general practitioners' medical records and claims for hospitalization and other healthcare services. Clinical information is collected using four different disease terminologies and free text in two different languages. The Unified Medical Language System was used to identify concepts and corresponding codes in each terminology. A common database model was used to share and pool data and verify the semantic basis of the event extraction queries. Feedback from the database holders was obtained at various stages to refine the extraction queries.Measurements Standardized and age specific incidence rates (IRs) were calculated to facilitate benchmarking and harmonization of event data extraction across the databases. This was an iterative process.Results The study population comprised overall 19 647 445 individuals with a follow-up of 59 929 690 person-years (PYs). Age adjusted IRs for the five events of interest across the databases were as follows: (1) AMI: 60–148/100 000 PYs; (2) ARF: 3–49/100 000 PYs; (3) AS: 2–12/100 000 PYs; (4) BE: 2–17/100 000 PYs; and (5) RHABD: 0.1–8/100 000 PYs.Conclusions The iterative harmonization process enabled a more homogeneous identification of events across differently structured databases using different coding based algorithms. This workflow can facilitate transparent and reproducible event extractions and understanding of differences between databases.","DOI":"10.1136/amiajnl-2012-000933","ISSN":"1067-5027, 1527-974X","note":"PMID: 22955495","shortTitle":"Harmonization process for the identification of medical events in eight European healthcare databases","language":"en","author":[{"family":"Avillach","given":"Paul"},{"family":"Coloma","given":"Preciosa M."},{"family":"Gini","given":"Rosa"},{"family":"Schuemie","given":"Martijn"},{"family":"Mougin","given":"Fleur"},{"family":"Dufour","given":"Jean-Charles"},{"family":"Mazzaglia","given":"Giampiero"},{"family":"Giaquinto","given":"Carlo"},{"family":"Fornari","given":"Carla"},{"family":"Herings","given":"Ron"},{"family":"Molokhia","given":"Mariam"},{"family":"Pedersen","given":"Lars"},{"family":"Fourrier-Réglat","given":"Annie"},{"family":"Fieschi","given":"Marius"},{"family":"Sturkenboom","given":"Miriam"},{"family":"Lei","given":"Johan","dropping-particle":"van der"},{"family":"Pariente","given":"Antoine"},{"family":"Trifirò","given":"Gianluca"}],"issued":{"date-parts":[["2013",1,1]]}}},{"id":49,"uris":["http://zotero.org/users/2673476/items/D42KR4CV"],"uri":["http://zotero.org/users/2673476/items/D42KR4CV"],"itemData":{"id":49,"type":"article-journal","title":"Combining electronic healthcare databases in Europe to allow for large-scale drug safety monitoring: the EU-ADR Project","container-title":"Pharmacoepidemiology and Drug Safety","page":"1-11","volume":"20","issue":"1","source":"Wiley Online Library","abstract":"Purpose\nIn this proof-of-concept paper we describe the framework, process, and preliminary results of combining data from European electronic healthcare record (EHR) databases for large-scale monitoring of drug safety.\nMethods\nAggregated demographic, clinical, and prescription data from eight databases in four countries (Denmark, Italy, Netherlands, the UK) were pooled using a distributed network approach by generation of common input data followed by local aggregation through custom-built software, Jerboa©. Comparison of incidence rates of upper gastrointestinal bleeding (UGIB) and nonsteroidal anti-inflammatory drug (NSAID) utilization patterns were used to evaluate data harmonization and quality across databases. The known association of NSAIDs and UGIB was employed to demonstrate sensitivity of the system by comparing incidence rate ratios (IRRs) of UGIB during NSAID use to UGIB during all other person-time.\nResults\nThe study population for this analysis comprised 19 647 445 individuals corresponding to 59 929 690 person-years of follow-up. 39 967 incident cases of UGIB were identified during the study period. Crude incidence rates varied between 38.8 and 109.5/100 000 person-years, depending on country and type of database, while age-standardized rates ranged from 25.1 to 65.4/100 000 person-years. NSAID use patterns were similar for databases within the same country but heterogeneous among different countries. A statistically significant age- and gender-adjusted association between use of any NSAID and increased risk for UGIB was confirmed in all databases, IRR from 2.0 (95%CI:1.7–2.2) to 4.3 (95%CI: 4.1–4.5).\nConclusions\nCombining data from EHR databases of different countries to identify drug-adverse event associations is feasible and can set the stage for changing and enlarging the scale for drug safety monitoring. Copyright © 2010 John Wiley &amp; Sons, Ltd.","DOI":"10.1002/pds.2053","ISSN":"1099-1557","shortTitle":"Combining electronic healthcare databases in Europe to allow for large-scale drug safety monitoring","journalAbbreviation":"Pharmacoepidem. Drug Safe.","language":"en","author":[{"family":"Coloma","given":"Preciosa M."},{"family":"Schuemie","given":"Martijn J."},{"family":"Trifirò","given":"Gianluca"},{"family":"Gini","given":"Rosa"},{"family":"Herings","given":"Ron"},{"family":"Hippisley-Cox","given":"Julia"},{"family":"Mazzaglia","given":"Giampiero"},{"family":"Giaquinto","given":"Carlo"},{"family":"Corrao","given":"Giovanni"},{"family":"Pedersen","given":"Lars"},{"family":"Lei","given":"Johan","non-dropping-particle":"van der"},{"family":"Sturkenboom","given":"Miriam"},{"literal":"on behalf of the EU-ADR consortium"}],"issued":{"date-parts":[["2011",1,1]]}}}],"schema":"https://github.com/citation-style-language/schema/raw/master/csl-citation.json"} </w:instrText>
      </w:r>
      <w:r w:rsidR="0051554E">
        <w:fldChar w:fldCharType="separate"/>
      </w:r>
      <w:r w:rsidR="003B067F" w:rsidRPr="003B067F">
        <w:rPr>
          <w:rFonts w:ascii="Calibri" w:hAnsi="Calibri"/>
          <w:szCs w:val="24"/>
          <w:vertAlign w:val="superscript"/>
        </w:rPr>
        <w:t>10–12</w:t>
      </w:r>
      <w:r w:rsidR="0051554E">
        <w:fldChar w:fldCharType="end"/>
      </w:r>
      <w:r>
        <w:t xml:space="preserve"> Medical concepts like diseases, symptoms, laboratory procedures, or tests were automatically identified in a case definition using the MetaMap program</w:t>
      </w:r>
      <w:r w:rsidR="00E257CA">
        <w:t>.</w:t>
      </w:r>
      <w:r w:rsidR="0051554E">
        <w:fldChar w:fldCharType="begin"/>
      </w:r>
      <w:r w:rsidR="003B067F">
        <w:instrText xml:space="preserve"> ADDIN ZOTERO_ITEM CSL_CITATION {"citationID":"QIM073Dl","properties":{"formattedCitation":"{\\rtf \\super 13\\nosupersub{}}","plainCitation":"13"},"citationItems":[{"id":15,"uris":["http://zotero.org/users/2673476/items/4DNZCUR9"],"uri":["http://zotero.org/users/2673476/items/4DNZCUR9"],"itemData":{"id":15,"type":"paper-conference","title":"Effective mapping of biomedical text to the UMLS Metathesaurus: the MetaMap program.","container-title":"Proceedings of the AMIA Symposium","publisher":"American Medical Informatics Association","page":"17","author":[{"family":"Aronson","given":"Alan R"}],"issued":{"date-parts":[["2001"]]}}}],"schema":"https://github.com/citation-style-language/schema/raw/master/csl-citation.json"} </w:instrText>
      </w:r>
      <w:r w:rsidR="0051554E">
        <w:fldChar w:fldCharType="separate"/>
      </w:r>
      <w:r w:rsidR="003B067F" w:rsidRPr="003B067F">
        <w:rPr>
          <w:rFonts w:ascii="Calibri" w:hAnsi="Calibri"/>
          <w:szCs w:val="24"/>
          <w:vertAlign w:val="superscript"/>
        </w:rPr>
        <w:t>13</w:t>
      </w:r>
      <w:r w:rsidR="0051554E">
        <w:fldChar w:fldCharType="end"/>
      </w:r>
      <w:r>
        <w:t xml:space="preserve"> Code sets representing the concepts in the targeted vocabularies were then generated using the Unified Medical Language System (UMLS</w:t>
      </w:r>
      <w:r w:rsidR="00E257CA">
        <w:t>)</w:t>
      </w:r>
      <w:r w:rsidR="0051554E">
        <w:fldChar w:fldCharType="begin"/>
      </w:r>
      <w:r w:rsidR="003B067F">
        <w:instrText xml:space="preserve"> ADDIN ZOTERO_ITEM CSL_CITATION {"citationID":"CMg16k90","properties":{"formattedCitation":"{\\rtf \\super 14\\nosupersub{}}","plainCitation":"14"},"citationItems":[{"id":48,"uris":["http://zotero.org/users/2673476/items/D23NATDP"],"uri":["http://zotero.org/users/2673476/items/D23NATDP"],"itemData":{"id":48,"type":"article-journal","title":"The Unified Medical Language System.","container-title":"Methods of information in medicine","page":"281–291","volume":"32","issue":"4","author":[{"family":"Lindberg","given":"Donald A"},{"family":"Humphreys","given":"Betsy L"},{"family":"McCray","given":"Alexa T"}],"issued":{"date-parts":[["1993"]]}}}],"schema":"https://github.com/citation-style-language/schema/raw/master/csl-citation.json"} </w:instrText>
      </w:r>
      <w:r w:rsidR="0051554E">
        <w:fldChar w:fldCharType="separate"/>
      </w:r>
      <w:r w:rsidR="003B067F" w:rsidRPr="003B067F">
        <w:rPr>
          <w:rFonts w:ascii="Calibri" w:hAnsi="Calibri"/>
          <w:szCs w:val="24"/>
          <w:vertAlign w:val="superscript"/>
        </w:rPr>
        <w:t>14</w:t>
      </w:r>
      <w:r w:rsidR="0051554E">
        <w:fldChar w:fldCharType="end"/>
      </w:r>
      <w:r>
        <w:t>, a biomedical terminology system that integrates many vocabularies including coding vocabularies commonly used in EHR databases. Whereas the identification of concepts and their projection to codes was automated, the overall workflow was not integrated or recorded to facilitate the later reuse of the mapping.</w:t>
      </w:r>
      <w:r w:rsidR="00D32961">
        <w:t xml:space="preserve"> The approach was </w:t>
      </w:r>
      <w:r w:rsidR="00D32961">
        <w:lastRenderedPageBreak/>
        <w:t xml:space="preserve">also applied in other European projects like </w:t>
      </w:r>
      <w:r w:rsidR="00DC34E0" w:rsidRPr="00DC34E0">
        <w:t>GRIP</w:t>
      </w:r>
      <w:r w:rsidR="00C927E0">
        <w:t xml:space="preserve"> (</w:t>
      </w:r>
      <w:r w:rsidR="00257B5A">
        <w:fldChar w:fldCharType="begin"/>
      </w:r>
      <w:r w:rsidR="00257B5A">
        <w:instrText xml:space="preserve"> HYPERLINK "http://www.grip-network.org" </w:instrText>
      </w:r>
      <w:r w:rsidR="00257B5A">
        <w:fldChar w:fldCharType="separate"/>
      </w:r>
      <w:r w:rsidR="00C927E0" w:rsidRPr="00257B5A">
        <w:rPr>
          <w:rStyle w:val="Hyperlink"/>
        </w:rPr>
        <w:t>http://www.grip-network.org</w:t>
      </w:r>
      <w:r w:rsidR="00257B5A">
        <w:fldChar w:fldCharType="end"/>
      </w:r>
      <w:r w:rsidR="00C927E0" w:rsidRPr="00BC12B3">
        <w:t>)</w:t>
      </w:r>
      <w:r w:rsidR="00D32961" w:rsidRPr="00BC12B3">
        <w:t xml:space="preserve">, </w:t>
      </w:r>
      <w:r w:rsidR="00DC34E0" w:rsidRPr="00BC12B3">
        <w:t>VAESCO</w:t>
      </w:r>
      <w:r w:rsidR="00C927E0" w:rsidRPr="00BC12B3">
        <w:t xml:space="preserve"> (</w:t>
      </w:r>
      <w:r w:rsidR="00257B5A">
        <w:fldChar w:fldCharType="begin"/>
      </w:r>
      <w:r w:rsidR="00257B5A">
        <w:instrText xml:space="preserve"> HYPERLINK "http://www.vaesco.net" </w:instrText>
      </w:r>
      <w:r w:rsidR="00257B5A">
        <w:fldChar w:fldCharType="separate"/>
      </w:r>
      <w:r w:rsidR="00C927E0" w:rsidRPr="00257B5A">
        <w:rPr>
          <w:rStyle w:val="Hyperlink"/>
        </w:rPr>
        <w:t>http://www.vaesco.net</w:t>
      </w:r>
      <w:r w:rsidR="00257B5A">
        <w:fldChar w:fldCharType="end"/>
      </w:r>
      <w:r w:rsidR="00C927E0" w:rsidRPr="00BC12B3">
        <w:t>)</w:t>
      </w:r>
      <w:r w:rsidR="003D713D" w:rsidRPr="00BC12B3">
        <w:t>, a</w:t>
      </w:r>
      <w:r w:rsidR="003D713D">
        <w:t>nd EMIF</w:t>
      </w:r>
      <w:r w:rsidR="00C927E0">
        <w:t xml:space="preserve"> (</w:t>
      </w:r>
      <w:r w:rsidR="00257B5A">
        <w:fldChar w:fldCharType="begin"/>
      </w:r>
      <w:r w:rsidR="00257B5A">
        <w:instrText xml:space="preserve"> HYPERLINK "http://www.emif.eu" </w:instrText>
      </w:r>
      <w:r w:rsidR="00257B5A">
        <w:fldChar w:fldCharType="separate"/>
      </w:r>
      <w:r w:rsidR="00C927E0" w:rsidRPr="00257B5A">
        <w:rPr>
          <w:rStyle w:val="Hyperlink"/>
        </w:rPr>
        <w:t>http://www.emif.eu</w:t>
      </w:r>
      <w:r w:rsidR="00257B5A">
        <w:fldChar w:fldCharType="end"/>
      </w:r>
      <w:r w:rsidR="00C927E0">
        <w:t>)</w:t>
      </w:r>
      <w:r w:rsidR="00D32961">
        <w:t xml:space="preserve">. </w:t>
      </w:r>
      <w:r w:rsidR="00C8099A">
        <w:t xml:space="preserve"> </w:t>
      </w:r>
      <w:r w:rsidR="00D32961">
        <w:t>Similar collaborative studies in the Asian and Pacific region deal with less heterogeneous medical vocabularies (Mini-sentinel</w:t>
      </w:r>
      <w:r w:rsidR="008E0E8D">
        <w:fldChar w:fldCharType="begin"/>
      </w:r>
      <w:r w:rsidR="008E0E8D">
        <w:instrText xml:space="preserve"> ADDIN ZOTERO_ITEM CSL_CITATION {"citationID":"tc2i79rua","properties":{"formattedCitation":"{\\rtf \\super 15\\nosupersub{}}","plainCitation":"15"},"citationItems":[{"id":384,"uris":["http://zotero.org/users/2673476/items/JZRJR5AT"],"uri":["http://zotero.org/users/2673476/items/JZRJR5AT"],"itemData":{"id":384,"type":"article-journal","title":"Design considerations, architecture, and use of the Mini-Sentinel distributed data system","container-title":"Pharmacoepidemiology and drug safety","page":"23–31","volume":"21","issue":"S1","source":"Google Scholar","author":[{"family":"Curtis","given":"Lesley H."},{"family":"Weiner","given":"Mark G."},{"family":"Boudreau","given":"Denise M."},{"family":"Cooper","given":"William O."},{"family":"Daniel","given":"Gregory W."},{"family":"Nair","given":"Vinit P."},{"family":"Raebel","given":"Marsha A."},{"family":"Beaulieu","given":"Nicolas U."},{"family":"Rosofsky","given":"Robert"},{"family":"Woodworth","given":"Tiffany S."},{"literal":"others"}],"issued":{"date-parts":[["2012"]]}}}],"schema":"https://github.com/citation-style-language/schema/raw/master/csl-citation.json"} </w:instrText>
      </w:r>
      <w:r w:rsidR="008E0E8D">
        <w:fldChar w:fldCharType="separate"/>
      </w:r>
      <w:r w:rsidR="008E0E8D" w:rsidRPr="008E0E8D">
        <w:rPr>
          <w:rFonts w:ascii="Calibri" w:hAnsi="Calibri"/>
          <w:szCs w:val="24"/>
          <w:vertAlign w:val="superscript"/>
        </w:rPr>
        <w:t>15</w:t>
      </w:r>
      <w:r w:rsidR="008E0E8D">
        <w:fldChar w:fldCharType="end"/>
      </w:r>
      <w:r w:rsidR="00D32961">
        <w:t>, PRISM</w:t>
      </w:r>
      <w:r w:rsidR="008E0E8D">
        <w:fldChar w:fldCharType="begin"/>
      </w:r>
      <w:r w:rsidR="008E0E8D">
        <w:instrText xml:space="preserve"> ADDIN ZOTERO_ITEM CSL_CITATION {"citationID":"1th0106mnu","properties":{"formattedCitation":"{\\rtf \\super 16\\nosupersub{}}","plainCitation":"16"},"citationItems":[{"id":401,"uris":["http://zotero.org/users/2673476/items/H4C4FVZ4"],"uri":["http://zotero.org/users/2673476/items/H4C4FVZ4"],"itemData":{"id":401,"type":"article-journal","title":"Post-licensure rapid immunization safety monitoring program (PRISM) data characterization","container-title":"Vaccine","page":"K98–K112","volume":"31","source":"Google Scholar","author":[{"family":"Baker","given":"Meghan A."},{"family":"Nguyen","given":"Michael"},{"family":"Cole","given":"David V."},{"family":"Lee","given":"Grace M."},{"family":"Lieu","given":"Tracy A."}],"issued":{"date-parts":[["2013"]]}}}],"schema":"https://github.com/citation-style-language/schema/raw/master/csl-citation.json"} </w:instrText>
      </w:r>
      <w:r w:rsidR="008E0E8D">
        <w:fldChar w:fldCharType="separate"/>
      </w:r>
      <w:r w:rsidR="008E0E8D" w:rsidRPr="008E0E8D">
        <w:rPr>
          <w:rFonts w:ascii="Calibri" w:hAnsi="Calibri"/>
          <w:szCs w:val="24"/>
          <w:vertAlign w:val="superscript"/>
        </w:rPr>
        <w:t>16</w:t>
      </w:r>
      <w:r w:rsidR="008E0E8D">
        <w:fldChar w:fldCharType="end"/>
      </w:r>
      <w:r w:rsidR="00D32961">
        <w:t>, VSD</w:t>
      </w:r>
      <w:r w:rsidR="008E0E8D">
        <w:fldChar w:fldCharType="begin"/>
      </w:r>
      <w:r w:rsidR="008E0E8D">
        <w:instrText xml:space="preserve"> ADDIN ZOTERO_ITEM CSL_CITATION {"citationID":"1qsj5qjol","properties":{"formattedCitation":"{\\rtf \\super 17\\nosupersub{}}","plainCitation":"17"},"citationItems":[{"id":399,"uris":["http://zotero.org/users/2673476/items/BMXXFEZG"],"uri":["http://zotero.org/users/2673476/items/BMXXFEZG"],"itemData":{"id":399,"type":"article-journal","title":"Vaccine Safety Datalink project: a new tool for improving vaccine safety monitoring in the United States","container-title":"Pediatrics","page":"765–773","volume":"99","issue":"6","source":"Google Scholar","shortTitle":"Vaccine Safety Datalink project","author":[{"family":"Chen","given":"Robert T."},{"family":"Glasser","given":"John W."},{"family":"Rhodes","given":"Philip H."},{"family":"Davis","given":"Robert L."},{"family":"Barlow","given":"William E."},{"family":"Thompson","given":"Robert S."},{"family":"Mullooly","given":"John P."},{"family":"Black","given":"Steve B."},{"family":"Shinefield","given":"Henry R."},{"family":"Vadheim","given":"Connie M."},{"literal":"others"}],"issued":{"date-parts":[["1997"]]}}}],"schema":"https://github.com/citation-style-language/schema/raw/master/csl-citation.json"} </w:instrText>
      </w:r>
      <w:r w:rsidR="008E0E8D">
        <w:fldChar w:fldCharType="separate"/>
      </w:r>
      <w:r w:rsidR="008E0E8D" w:rsidRPr="008E0E8D">
        <w:rPr>
          <w:rFonts w:ascii="Calibri" w:hAnsi="Calibri"/>
          <w:szCs w:val="24"/>
          <w:vertAlign w:val="superscript"/>
        </w:rPr>
        <w:t>17</w:t>
      </w:r>
      <w:r w:rsidR="008E0E8D">
        <w:fldChar w:fldCharType="end"/>
      </w:r>
      <w:r w:rsidR="00D32961">
        <w:t>, and AsPEN</w:t>
      </w:r>
      <w:r w:rsidR="008E0E8D">
        <w:fldChar w:fldCharType="begin"/>
      </w:r>
      <w:r w:rsidR="008E0E8D">
        <w:instrText xml:space="preserve"> ADDIN ZOTERO_ITEM CSL_CITATION {"citationID":"2evorrotv2","properties":{"formattedCitation":"{\\rtf \\super 18\\nosupersub{}}","plainCitation":"18"},"citationItems":[{"id":346,"uris":["http://zotero.org/users/2673476/items/CRIZ2CB5"],"uri":["http://zotero.org/users/2673476/items/CRIZ2CB5"],"itemData":{"id":346,"type":"article-journal","title":"The Asian Pharmacoepidemiology Network (AsPEN): promoting multi-national collaboration for pharmacoepidemiologic research in Asia","container-title":"Pharmacoepidemiology and Drug Safety","page":"700-704","volume":"22","issue":"7","source":"Wiley Online Library","DOI":"10.1002/pds.3439","ISSN":"1099-1557","shortTitle":"The Asian Pharmacoepidemiology Network (AsPEN)","journalAbbreviation":"Pharmacoepidemiol Drug Saf","language":"en","author":[{"literal":"AsPEN collaborators"},{"family":"Andersen","given":"Morten"},{"family":"Bergman","given":"Ulf"},{"family":"Choi","given":"Nam-Kyong"},{"family":"Gerhard","given":"Tobias"},{"family":"Huang","given":"Cecilia"},{"family":"Jalbert","given":"Jessica"},{"family":"Kimura","given":"Michio"},{"family":"Kimura","given":"Tomomi"},{"family":"Kubota","given":"Kiyoshi"},{"family":"Lai","given":"Edward Chia-Cheng"},{"family":"Ooba","given":"Nobuhiro"},{"family":"Park","given":"Byung-Joo"},{"family":"Pratt","given":"Nicole"},{"family":"Roughead","given":"Elizabeth E."},{"family":"Sato","given":"Tsugumichi"},{"family":"Setoguchi","given":"Soko"},{"family":"Shin","given":"Ju-Young"},{"family":"Sundström","given":"Anders"},{"family":"Yang","given":"Yea-Huei Kao"}],"issued":{"date-parts":[["2013",7,1]]}}}],"schema":"https://github.com/citation-style-language/schema/raw/master/csl-citation.json"} </w:instrText>
      </w:r>
      <w:r w:rsidR="008E0E8D">
        <w:fldChar w:fldCharType="separate"/>
      </w:r>
      <w:r w:rsidR="008E0E8D" w:rsidRPr="008E0E8D">
        <w:rPr>
          <w:rFonts w:ascii="Calibri" w:hAnsi="Calibri"/>
          <w:szCs w:val="24"/>
          <w:vertAlign w:val="superscript"/>
        </w:rPr>
        <w:t>18</w:t>
      </w:r>
      <w:r w:rsidR="008E0E8D">
        <w:fldChar w:fldCharType="end"/>
      </w:r>
      <w:r w:rsidR="00D32961">
        <w:t>). Alternatively to adapting the event identification algorithm to the different databases, these databases can be mapped to a</w:t>
      </w:r>
      <w:r w:rsidR="00D32961" w:rsidRPr="001C3B0E">
        <w:t xml:space="preserve"> </w:t>
      </w:r>
      <w:r w:rsidR="00D32961">
        <w:t>standardized coding system. A single event identification algorithm can then be used in different databases. This approach has been</w:t>
      </w:r>
      <w:r w:rsidR="000A0917">
        <w:t xml:space="preserve"> pursued</w:t>
      </w:r>
      <w:r w:rsidR="00D32961">
        <w:t xml:space="preserve"> in OMOP</w:t>
      </w:r>
      <w:r w:rsidR="008E0E8D">
        <w:fldChar w:fldCharType="begin"/>
      </w:r>
      <w:r w:rsidR="008E0E8D">
        <w:instrText xml:space="preserve"> ADDIN ZOTERO_ITEM CSL_CITATION {"citationID":"1gel01er2e","properties":{"formattedCitation":"{\\rtf \\super 19\\nosupersub{}}","plainCitation":"19"},"citationItems":[{"id":353,"uris":["http://zotero.org/users/2673476/items/WXHBDF5A"],"uri":["http://zotero.org/users/2673476/items/WXHBDF5A"],"itemData":{"id":353,"type":"article-journal","title":"Validation of a common data model for active safety surveillance research","container-title":"Journal of the American Medical Informatics Association","page":"54–60","volume":"19","issue":"1","source":"Google Scholar","author":[{"family":"Overhage","given":"J. Marc"},{"family":"Ryan","given":"Patrick B."},{"family":"Reich","given":"Christian G."},{"family":"Hartzema","given":"Abraham G."},{"family":"Stang","given":"Paul E."}],"issued":{"date-parts":[["2012"]]}}}],"schema":"https://github.com/citation-style-language/schema/raw/master/csl-citation.json"} </w:instrText>
      </w:r>
      <w:r w:rsidR="008E0E8D">
        <w:fldChar w:fldCharType="separate"/>
      </w:r>
      <w:r w:rsidR="008E0E8D" w:rsidRPr="008E0E8D">
        <w:rPr>
          <w:rFonts w:ascii="Calibri" w:hAnsi="Calibri"/>
          <w:szCs w:val="24"/>
          <w:vertAlign w:val="superscript"/>
        </w:rPr>
        <w:t>19</w:t>
      </w:r>
      <w:r w:rsidR="008E0E8D">
        <w:fldChar w:fldCharType="end"/>
      </w:r>
      <w:r w:rsidR="003A2EBA">
        <w:t xml:space="preserve"> and</w:t>
      </w:r>
      <w:r w:rsidR="00D32961">
        <w:t xml:space="preserve"> OHDSI</w:t>
      </w:r>
      <w:r w:rsidR="008E0E8D">
        <w:fldChar w:fldCharType="begin"/>
      </w:r>
      <w:r w:rsidR="008E0E8D">
        <w:instrText xml:space="preserve"> ADDIN ZOTERO_ITEM CSL_CITATION {"citationID":"1ckd20ei78","properties":{"formattedCitation":"{\\rtf \\super 20\\nosupersub{}}","plainCitation":"20"},"citationItems":[{"id":380,"uris":["http://zotero.org/users/2673476/items/AEQBARV3"],"uri":["http://zotero.org/users/2673476/items/AEQBARV3"],"itemData":{"id":380,"type":"article-journal","title":"Observational Health Data Sciences and Informatics (OHDSI): Opportunities for Observational Researchers","container-title":"Studies in health technology and informatics","page":"574-578","volume":"216","source":"PubMed Central","abstract":"The vision of creating accessible, reliable clinical evidence by accessing the clinical experience of hundreds of millions of patients across the globe is a reality. The Observational Health Data Sciences and Informatics (OHDSI) has built on learnings from the Observational Medical Outcomes Partnership to turn methods research and insights into a suite of applications and exploration tools that move the field closer to the ultimate goal of generating evidence about all aspects of healthcare to serve the needs of patients, clinicians and all other decision-makers around the world.","ISSN":"0926-9630","note":"PMID: 26262116\nPMCID: PMC4815923","shortTitle":"Observational Health Data Sciences and Informatics (OHDSI)","journalAbbreviation":"Stud Health Technol Inform","author":[{"family":"Hripcsak","given":"George"},{"family":"Duke","given":"Jon D"},{"family":"Shah","given":"Nigam H"},{"family":"Reich","given":"Christian G"},{"family":"Huser","given":"Vojtech"},{"family":"Schuemie","given":"Martijn J"},{"family":"Suchard","given":"Marc A"},{"family":"Park","given":"Rae Woong"},{"family":"Wong","given":"Ian Chi Kei"},{"family":"Rijnbeek","given":"Peter R"},{"family":"Lei","given":"Johan","non-dropping-particle":"van der"},{"family":"Pratt","given":"Nicole"},{"family":"Norén","given":"G Niklas"},{"family":"Li","given":"Yu-Chuan"},{"family":"Stang","given":"Paul E"},{"family":"Madigan","given":"David"},{"family":"Ryan","given":"Patrick B"}],"issued":{"date-parts":[["2015"]]}}}],"schema":"https://github.com/citation-style-language/schema/raw/master/csl-citation.json"} </w:instrText>
      </w:r>
      <w:r w:rsidR="008E0E8D">
        <w:fldChar w:fldCharType="separate"/>
      </w:r>
      <w:r w:rsidR="008E0E8D" w:rsidRPr="008E0E8D">
        <w:rPr>
          <w:rFonts w:ascii="Calibri" w:hAnsi="Calibri"/>
          <w:szCs w:val="24"/>
          <w:vertAlign w:val="superscript"/>
        </w:rPr>
        <w:t>20</w:t>
      </w:r>
      <w:r w:rsidR="008E0E8D">
        <w:fldChar w:fldCharType="end"/>
      </w:r>
      <w:r w:rsidR="00D32961">
        <w:t>.</w:t>
      </w:r>
    </w:p>
    <w:p w14:paraId="343A1D79" w14:textId="38F4E979" w:rsidR="00674B6B" w:rsidRDefault="00B10E7A" w:rsidP="00AB51CE">
      <w:r>
        <w:t xml:space="preserve">We present a web application called </w:t>
      </w:r>
      <w:r>
        <w:rPr>
          <w:iCs/>
        </w:rPr>
        <w:t>CodeMapper</w:t>
      </w:r>
      <w:r w:rsidR="00836BF6">
        <w:rPr>
          <w:iCs/>
        </w:rPr>
        <w:t>,</w:t>
      </w:r>
      <w:r w:rsidR="0056569B">
        <w:rPr>
          <w:iCs/>
        </w:rPr>
        <w:t xml:space="preserve"> which </w:t>
      </w:r>
      <w:r w:rsidR="00086969">
        <w:rPr>
          <w:iCs/>
        </w:rPr>
        <w:t xml:space="preserve">has been </w:t>
      </w:r>
      <w:r w:rsidR="00337511">
        <w:rPr>
          <w:iCs/>
        </w:rPr>
        <w:t>developed</w:t>
      </w:r>
      <w:r w:rsidR="0056569B">
        <w:rPr>
          <w:iCs/>
        </w:rPr>
        <w:t xml:space="preserve"> in the ADVANCE project (</w:t>
      </w:r>
      <w:r w:rsidR="0056569B" w:rsidRPr="0056569B">
        <w:rPr>
          <w:iCs/>
        </w:rPr>
        <w:t>Accelerated development of vaccine benefit-risk collaboration in Europe</w:t>
      </w:r>
      <w:r w:rsidR="000B2BF9">
        <w:rPr>
          <w:iCs/>
        </w:rPr>
        <w:t xml:space="preserve">, </w:t>
      </w:r>
      <w:r w:rsidR="00257B5A">
        <w:rPr>
          <w:iCs/>
        </w:rPr>
        <w:fldChar w:fldCharType="begin"/>
      </w:r>
      <w:r w:rsidR="00257B5A">
        <w:rPr>
          <w:iCs/>
        </w:rPr>
        <w:instrText xml:space="preserve"> HYPERLINK "http://www.advance-vaccines.eu" </w:instrText>
      </w:r>
      <w:r w:rsidR="00257B5A">
        <w:rPr>
          <w:iCs/>
        </w:rPr>
        <w:fldChar w:fldCharType="separate"/>
      </w:r>
      <w:r w:rsidR="000B2BF9" w:rsidRPr="00257B5A">
        <w:rPr>
          <w:rStyle w:val="Hyperlink"/>
          <w:iCs/>
        </w:rPr>
        <w:t>http://www.advance-vaccines.eu</w:t>
      </w:r>
      <w:r w:rsidR="00257B5A">
        <w:rPr>
          <w:iCs/>
        </w:rPr>
        <w:fldChar w:fldCharType="end"/>
      </w:r>
      <w:r w:rsidR="0056569B">
        <w:rPr>
          <w:iCs/>
        </w:rPr>
        <w:t>)</w:t>
      </w:r>
      <w:r w:rsidR="00C077F9">
        <w:rPr>
          <w:iCs/>
        </w:rPr>
        <w:t>.</w:t>
      </w:r>
      <w:r w:rsidR="0056569B">
        <w:rPr>
          <w:iCs/>
        </w:rPr>
        <w:t xml:space="preserve"> </w:t>
      </w:r>
      <w:r w:rsidR="00C077F9">
        <w:rPr>
          <w:iCs/>
        </w:rPr>
        <w:t xml:space="preserve">It is based on the EU-ADR approach and </w:t>
      </w:r>
      <w:r>
        <w:t>assist</w:t>
      </w:r>
      <w:r w:rsidR="00C077F9">
        <w:t>s</w:t>
      </w:r>
      <w:r>
        <w:t xml:space="preserve"> in mapping case definitions to code sets from different vocabularies while keeping a record of the complete mapping process. We evaluate the application by comparing code sets that were automatically generated by CodeMapper with reference code sets that were manually created in a</w:t>
      </w:r>
      <w:r w:rsidR="0056569B">
        <w:t xml:space="preserve"> previous </w:t>
      </w:r>
      <w:r>
        <w:t>epidemiological study.</w:t>
      </w:r>
    </w:p>
    <w:p w14:paraId="34898BFD" w14:textId="77777777" w:rsidR="00674B6B" w:rsidRDefault="00B10E7A">
      <w:pPr>
        <w:pStyle w:val="Heading1"/>
      </w:pPr>
      <w:r>
        <w:t>Methods</w:t>
      </w:r>
    </w:p>
    <w:p w14:paraId="1BCC4B5E" w14:textId="26B6C104" w:rsidR="00674B6B" w:rsidRDefault="00B10E7A">
      <w:r>
        <w:t>CodeMapper’s mapping approach consists of three phases (figure</w:t>
      </w:r>
      <w:r w:rsidR="009C6899">
        <w:t> </w:t>
      </w:r>
      <w:r>
        <w:t xml:space="preserve">1, top). First, medical concepts are automatically identified </w:t>
      </w:r>
      <w:r w:rsidR="0056569B">
        <w:t xml:space="preserve">from </w:t>
      </w:r>
      <w:r>
        <w:t xml:space="preserve">a free-text case definition. </w:t>
      </w:r>
      <w:r w:rsidR="00715056">
        <w:t>T</w:t>
      </w:r>
      <w:r>
        <w:t xml:space="preserve">he user can then revise the set of medical concepts by adding or removing concepts, or expanding a concept to more general or more specific concepts. For example, the concept </w:t>
      </w:r>
      <w:r>
        <w:rPr>
          <w:i/>
        </w:rPr>
        <w:t>Coughing</w:t>
      </w:r>
      <w:r>
        <w:t xml:space="preserve"> can be </w:t>
      </w:r>
      <w:r w:rsidR="005732F1">
        <w:t xml:space="preserve">expanded </w:t>
      </w:r>
      <w:r>
        <w:t xml:space="preserve">to more general concepts such as </w:t>
      </w:r>
      <w:r>
        <w:rPr>
          <w:i/>
        </w:rPr>
        <w:t xml:space="preserve">Respiratory disorders </w:t>
      </w:r>
      <w:r>
        <w:t>and</w:t>
      </w:r>
      <w:r>
        <w:rPr>
          <w:i/>
        </w:rPr>
        <w:t xml:space="preserve"> </w:t>
      </w:r>
      <w:proofErr w:type="gramStart"/>
      <w:r>
        <w:rPr>
          <w:i/>
        </w:rPr>
        <w:t>Abnormal</w:t>
      </w:r>
      <w:proofErr w:type="gramEnd"/>
      <w:r>
        <w:rPr>
          <w:i/>
        </w:rPr>
        <w:t xml:space="preserve"> breathing</w:t>
      </w:r>
      <w:r>
        <w:t xml:space="preserve">. Expanding it to concepts that are more specific results in subtypes of coughing such as </w:t>
      </w:r>
      <w:r>
        <w:rPr>
          <w:i/>
        </w:rPr>
        <w:t xml:space="preserve">Paroxysmal cough </w:t>
      </w:r>
      <w:r>
        <w:t xml:space="preserve">and </w:t>
      </w:r>
      <w:r>
        <w:rPr>
          <w:i/>
        </w:rPr>
        <w:t>Evening cough</w:t>
      </w:r>
      <w:r>
        <w:t>. Finally, each concept is represented by (possibly several) codes in the targeted vocabularies</w:t>
      </w:r>
      <w:r w:rsidR="00E97BDD">
        <w:t>, and</w:t>
      </w:r>
      <w:r>
        <w:t xml:space="preserve"> the projection of the concepts to codes forms the result of the mapping process. In this section, we will describe the mapping approach, the CodeMapper</w:t>
      </w:r>
      <w:r w:rsidR="00826C9B">
        <w:t xml:space="preserve"> application</w:t>
      </w:r>
      <w:r>
        <w:t xml:space="preserve">, and </w:t>
      </w:r>
      <w:r w:rsidR="001E51C9">
        <w:t xml:space="preserve">an </w:t>
      </w:r>
      <w:r>
        <w:t xml:space="preserve">evaluation </w:t>
      </w:r>
      <w:r w:rsidR="001D36A1">
        <w:t>of the</w:t>
      </w:r>
      <w:r w:rsidR="000E209D">
        <w:t xml:space="preserve"> </w:t>
      </w:r>
      <w:r>
        <w:t>approach.</w:t>
      </w:r>
    </w:p>
    <w:p w14:paraId="0D5E470E" w14:textId="77777777" w:rsidR="00674B6B" w:rsidRPr="00210587" w:rsidRDefault="00B10E7A" w:rsidP="00210587">
      <w:pPr>
        <w:pStyle w:val="Heading5"/>
      </w:pPr>
      <w:r w:rsidRPr="00210587">
        <w:t>Mapping approach</w:t>
      </w:r>
    </w:p>
    <w:p w14:paraId="74D890AA" w14:textId="6F3AB58E" w:rsidR="00674B6B" w:rsidRDefault="00B10E7A" w:rsidP="00A327FD">
      <w:pPr>
        <w:spacing w:before="100" w:after="100"/>
      </w:pPr>
      <w:r>
        <w:lastRenderedPageBreak/>
        <w:t xml:space="preserve">CodeMapper builds upon information from the Metathesaurus of the UMLS. The Metathesaurus is a compendium of many </w:t>
      </w:r>
      <w:r w:rsidR="004A6594">
        <w:t xml:space="preserve">medical </w:t>
      </w:r>
      <w:r>
        <w:t xml:space="preserve">vocabularies, which have been integrated by assigning equivalent codes and terms from different source vocabularies to the same concepts. Each concept in the UMLS is identified by a concept unique identifier (CUI). For example, the concept </w:t>
      </w:r>
      <w:r>
        <w:rPr>
          <w:i/>
        </w:rPr>
        <w:t xml:space="preserve">Coughing </w:t>
      </w:r>
      <w:r w:rsidR="00B367E9">
        <w:t>(CUI</w:t>
      </w:r>
      <w:r w:rsidR="00A41245">
        <w:t>:</w:t>
      </w:r>
      <w:r w:rsidR="00516268">
        <w:t> </w:t>
      </w:r>
      <w:r>
        <w:t xml:space="preserve">C0010200) is </w:t>
      </w:r>
      <w:r w:rsidR="00D55349">
        <w:t xml:space="preserve">among others </w:t>
      </w:r>
      <w:r>
        <w:t>associated with</w:t>
      </w:r>
      <w:r>
        <w:rPr>
          <w:i/>
        </w:rPr>
        <w:t xml:space="preserve"> </w:t>
      </w:r>
      <w:r>
        <w:t>the codes 786.2 (ICD</w:t>
      </w:r>
      <w:r w:rsidR="00561A85">
        <w:noBreakHyphen/>
      </w:r>
      <w:r>
        <w:t>9</w:t>
      </w:r>
      <w:r w:rsidR="009C6899">
        <w:t> </w:t>
      </w:r>
      <w:r>
        <w:t>CM), R05 (ICD</w:t>
      </w:r>
      <w:r w:rsidR="00561A85">
        <w:noBreakHyphen/>
      </w:r>
      <w:r>
        <w:t>10) and XC07I (CT</w:t>
      </w:r>
      <w:r w:rsidR="00933912">
        <w:t>v</w:t>
      </w:r>
      <w:r>
        <w:t xml:space="preserve">3). The Metathesaurus contains more than one million concepts connected to codes from </w:t>
      </w:r>
      <w:r w:rsidR="009C2FFE">
        <w:t>201</w:t>
      </w:r>
      <w:r w:rsidR="00FA2384">
        <w:t xml:space="preserve"> </w:t>
      </w:r>
      <w:r>
        <w:t xml:space="preserve">vocabularies. Each concept is assigned to one or more of </w:t>
      </w:r>
      <w:r w:rsidR="007F1F6C">
        <w:t>12</w:t>
      </w:r>
      <w:r w:rsidR="00D25BF1">
        <w:t>7</w:t>
      </w:r>
      <w:r w:rsidR="00F87AC6">
        <w:t xml:space="preserve"> </w:t>
      </w:r>
      <w:r>
        <w:t xml:space="preserve">semantic types, which define broad conceptual categories like </w:t>
      </w:r>
      <w:r>
        <w:rPr>
          <w:i/>
        </w:rPr>
        <w:t>Disease or syndrome</w:t>
      </w:r>
      <w:r>
        <w:t xml:space="preserve">, </w:t>
      </w:r>
      <w:r>
        <w:rPr>
          <w:i/>
        </w:rPr>
        <w:t>Finding</w:t>
      </w:r>
      <w:r>
        <w:t xml:space="preserve">, or </w:t>
      </w:r>
      <w:r>
        <w:rPr>
          <w:i/>
        </w:rPr>
        <w:t>Substance</w:t>
      </w:r>
      <w:r>
        <w:t>. To provide even broader structure, semantic types are combined into 15 semantic groups</w:t>
      </w:r>
      <w:r w:rsidR="00CB04DE">
        <w:t>.</w:t>
      </w:r>
      <w:r w:rsidR="0051554E">
        <w:fldChar w:fldCharType="begin"/>
      </w:r>
      <w:r w:rsidR="008E0E8D">
        <w:instrText xml:space="preserve"> ADDIN ZOTERO_ITEM CSL_CITATION {"citationID":"poxjYrn7","properties":{"formattedCitation":"{\\rtf \\super 21\\nosupersub{}}","plainCitation":"21"},"citationItems":[{"id":76,"uris":["http://zotero.org/users/2673476/items/JPDHET6Q"],"uri":["http://zotero.org/users/2673476/items/JPDHET6Q"],"itemData":{"id":76,"type":"article-journal","title":"Aggregating UMLS semantic types for reducing conceptual complexity","container-title":"Studies in health technology and informatics","page":"216","volume":"84","issue":"0 1","author":[{"family":"McCray","given":"Alexa T"},{"family":"Burgun","given":"Anita"},{"family":"Bodenreider","given":"Olivier"}],"issued":{"date-parts":[["2001"]]}}}],"schema":"https://github.com/citation-style-language/schema/raw/master/csl-citation.json"} </w:instrText>
      </w:r>
      <w:r w:rsidR="0051554E">
        <w:fldChar w:fldCharType="separate"/>
      </w:r>
      <w:r w:rsidR="008E0E8D" w:rsidRPr="008E0E8D">
        <w:rPr>
          <w:rFonts w:ascii="Calibri" w:hAnsi="Calibri"/>
          <w:szCs w:val="24"/>
          <w:vertAlign w:val="superscript"/>
        </w:rPr>
        <w:t>21</w:t>
      </w:r>
      <w:r w:rsidR="0051554E">
        <w:fldChar w:fldCharType="end"/>
      </w:r>
      <w:r>
        <w:t xml:space="preserve"> We used version 2016AA of the UMLS in this evaluation.</w:t>
      </w:r>
    </w:p>
    <w:p w14:paraId="3332CCE2" w14:textId="79A994E2" w:rsidR="00674B6B" w:rsidRDefault="00B10E7A">
      <w:r>
        <w:t>The automatic concept identification of CodeMapper is based on lexical information from the Metathesaurus. The lexical information of a concept consists of terms that can be used in free-text to refer to that concept (figure</w:t>
      </w:r>
      <w:r w:rsidR="009C6899">
        <w:t> </w:t>
      </w:r>
      <w:r>
        <w:t xml:space="preserve">1, bottom left). We compiled a dictionary for the concepts in the semantic groups </w:t>
      </w:r>
      <w:r>
        <w:rPr>
          <w:i/>
        </w:rPr>
        <w:t>Anatomy</w:t>
      </w:r>
      <w:r>
        <w:t xml:space="preserve">, </w:t>
      </w:r>
      <w:r>
        <w:rPr>
          <w:i/>
        </w:rPr>
        <w:t>Chemicals &amp; Drugs</w:t>
      </w:r>
      <w:r>
        <w:t xml:space="preserve">, </w:t>
      </w:r>
      <w:r>
        <w:rPr>
          <w:i/>
        </w:rPr>
        <w:t>Disorders</w:t>
      </w:r>
      <w:r>
        <w:t xml:space="preserve">, </w:t>
      </w:r>
      <w:r>
        <w:rPr>
          <w:i/>
        </w:rPr>
        <w:t>Genes &amp; Molecular Sequences</w:t>
      </w:r>
      <w:r>
        <w:t xml:space="preserve">, </w:t>
      </w:r>
      <w:r>
        <w:rPr>
          <w:i/>
        </w:rPr>
        <w:t>Living Beings</w:t>
      </w:r>
      <w:r>
        <w:t xml:space="preserve">, </w:t>
      </w:r>
      <w:r>
        <w:rPr>
          <w:i/>
        </w:rPr>
        <w:t>Phenomena</w:t>
      </w:r>
      <w:r>
        <w:t xml:space="preserve">, </w:t>
      </w:r>
      <w:r>
        <w:rPr>
          <w:i/>
        </w:rPr>
        <w:t>Physiology</w:t>
      </w:r>
      <w:r>
        <w:t xml:space="preserve">, and </w:t>
      </w:r>
      <w:r>
        <w:rPr>
          <w:i/>
        </w:rPr>
        <w:t>Procedures</w:t>
      </w:r>
      <w:r>
        <w:t xml:space="preserve"> </w:t>
      </w:r>
      <w:r w:rsidR="00513DD5">
        <w:t xml:space="preserve">of non-suppressible, English terms from the following vocabularies: </w:t>
      </w:r>
      <w:r w:rsidR="00162E1E">
        <w:t>Medical Subject Headings (MeSH</w:t>
      </w:r>
      <w:r w:rsidR="00CB04DE">
        <w:t>)</w:t>
      </w:r>
      <w:r w:rsidR="001B611C">
        <w:fldChar w:fldCharType="begin"/>
      </w:r>
      <w:r w:rsidR="008E0E8D">
        <w:instrText xml:space="preserve"> ADDIN ZOTERO_ITEM CSL_CITATION {"citationID":"27fsh6fhea","properties":{"formattedCitation":"{\\rtf \\super 22\\nosupersub{}}","plainCitation":"22"},"citationItems":[{"id":61,"uris":["http://zotero.org/users/2673476/items/F9VEPEVA"],"uri":["http://zotero.org/users/2673476/items/F9VEPEVA"],"itemData":{"id":61,"type":"article-journal","title":"Medical subject headings.","container-title":"Bulletin of the Medical Library Association","page":"114","volume":"51","author":[{"family":"Rogers","given":"FB"}],"issued":{"date-parts":[["1963"]]}}}],"schema":"https://github.com/citation-style-language/schema/raw/master/csl-citation.json"} </w:instrText>
      </w:r>
      <w:r w:rsidR="001B611C">
        <w:fldChar w:fldCharType="separate"/>
      </w:r>
      <w:r w:rsidR="008E0E8D" w:rsidRPr="008E0E8D">
        <w:rPr>
          <w:rFonts w:ascii="Calibri" w:hAnsi="Calibri"/>
          <w:szCs w:val="24"/>
          <w:vertAlign w:val="superscript"/>
        </w:rPr>
        <w:t>22</w:t>
      </w:r>
      <w:r w:rsidR="001B611C">
        <w:fldChar w:fldCharType="end"/>
      </w:r>
      <w:r>
        <w:t>, Medical Dictionary fo</w:t>
      </w:r>
      <w:r w:rsidR="00162E1E">
        <w:t>r Regulatory Activities (</w:t>
      </w:r>
      <w:proofErr w:type="spellStart"/>
      <w:r w:rsidR="00162E1E">
        <w:t>MedDRA</w:t>
      </w:r>
      <w:proofErr w:type="spellEnd"/>
      <w:r w:rsidR="00CB04DE">
        <w:t>)</w:t>
      </w:r>
      <w:r w:rsidR="001B611C">
        <w:fldChar w:fldCharType="begin"/>
      </w:r>
      <w:r w:rsidR="008E0E8D">
        <w:instrText xml:space="preserve"> ADDIN ZOTERO_ITEM CSL_CITATION {"citationID":"18lchht5li","properties":{"formattedCitation":"{\\rtf \\super 23\\nosupersub{}}","plainCitation":"23"},"citationItems":[{"id":102,"uris":["http://zotero.org/users/2673476/items/QXWHVTGG"],"uri":["http://zotero.org/users/2673476/items/QXWHVTGG"],"itemData":{"id":102,"type":"article-journal","title":"The medical dictionary for regulatory activities (MedDRA)","container-title":"Drug Safety","page":"109–117","volume":"20","issue":"2","author":[{"family":"Brown","given":"Elliot G"},{"family":"Wood","given":"Louise"},{"family":"Wood","given":"Sue"}],"issued":{"date-parts":[["1999"]]}}}],"schema":"https://github.com/citation-style-language/schema/raw/master/csl-citation.json"} </w:instrText>
      </w:r>
      <w:r w:rsidR="001B611C">
        <w:fldChar w:fldCharType="separate"/>
      </w:r>
      <w:r w:rsidR="008E0E8D" w:rsidRPr="008E0E8D">
        <w:rPr>
          <w:rFonts w:ascii="Calibri" w:hAnsi="Calibri"/>
          <w:szCs w:val="24"/>
          <w:vertAlign w:val="superscript"/>
        </w:rPr>
        <w:t>23</w:t>
      </w:r>
      <w:r w:rsidR="001B611C">
        <w:fldChar w:fldCharType="end"/>
      </w:r>
      <w:r>
        <w:t>, Systematized Nomenclature of Medic</w:t>
      </w:r>
      <w:r w:rsidR="00162E1E">
        <w:t>ine - Clinical Terms (SNOMED</w:t>
      </w:r>
      <w:r w:rsidR="00561A85">
        <w:noBreakHyphen/>
      </w:r>
      <w:r w:rsidR="00162E1E">
        <w:t>CT</w:t>
      </w:r>
      <w:r w:rsidR="00CB04DE">
        <w:t>)</w:t>
      </w:r>
      <w:r w:rsidR="001B611C">
        <w:fldChar w:fldCharType="begin"/>
      </w:r>
      <w:r w:rsidR="008E0E8D">
        <w:instrText xml:space="preserve"> ADDIN ZOTERO_ITEM CSL_CITATION {"citationID":"1hsqk4tp7j","properties":{"formattedCitation":"{\\rtf \\super 24\\nosupersub{}}","plainCitation":"24"},"citationItems":[{"id":78,"uris":["http://zotero.org/users/2673476/items/JZAICVV7"],"uri":["http://zotero.org/users/2673476/items/JZAICVV7"],"itemData":{"id":78,"type":"article-journal","title":"SNOMED-CT: The advanced terminology and coding system for eHealth","container-title":"Studies in health technology and informatics","page":"279","volume":"121","author":[{"family":"Donnelly","given":"Kevin"}],"issued":{"date-parts":[["2006"]]}}}],"schema":"https://github.com/citation-style-language/schema/raw/master/csl-citation.json"} </w:instrText>
      </w:r>
      <w:r w:rsidR="001B611C">
        <w:fldChar w:fldCharType="separate"/>
      </w:r>
      <w:r w:rsidR="008E0E8D" w:rsidRPr="008E0E8D">
        <w:rPr>
          <w:rFonts w:ascii="Calibri" w:hAnsi="Calibri"/>
          <w:szCs w:val="24"/>
          <w:vertAlign w:val="superscript"/>
        </w:rPr>
        <w:t>24</w:t>
      </w:r>
      <w:r w:rsidR="001B611C">
        <w:fldChar w:fldCharType="end"/>
      </w:r>
      <w:r>
        <w:t>, ICD</w:t>
      </w:r>
      <w:r w:rsidR="00561A85">
        <w:noBreakHyphen/>
      </w:r>
      <w:r>
        <w:t>9</w:t>
      </w:r>
      <w:r w:rsidR="00831A71">
        <w:t> </w:t>
      </w:r>
      <w:r>
        <w:t>CM, ICD</w:t>
      </w:r>
      <w:r w:rsidR="00561A85">
        <w:noBreakHyphen/>
      </w:r>
      <w:r>
        <w:t>10</w:t>
      </w:r>
      <w:r w:rsidR="00831A71">
        <w:t> </w:t>
      </w:r>
      <w:r>
        <w:t>CM, ICPC</w:t>
      </w:r>
      <w:r w:rsidR="00561A85">
        <w:noBreakHyphen/>
      </w:r>
      <w:r>
        <w:t>2, and CT</w:t>
      </w:r>
      <w:r w:rsidR="00933912">
        <w:t>v</w:t>
      </w:r>
      <w:r>
        <w:t>3. Our</w:t>
      </w:r>
      <w:r w:rsidR="00162E1E">
        <w:t xml:space="preserve"> text-indexing engine Peregrine</w:t>
      </w:r>
      <w:r w:rsidR="006E210A">
        <w:t xml:space="preserve"> uses this dictionary to identify medical concepts in the case definition</w:t>
      </w:r>
      <w:r w:rsidR="00CB04DE">
        <w:t>.</w:t>
      </w:r>
      <w:r w:rsidR="001B611C">
        <w:fldChar w:fldCharType="begin"/>
      </w:r>
      <w:r w:rsidR="008E0E8D">
        <w:instrText xml:space="preserve"> ADDIN ZOTERO_ITEM CSL_CITATION {"citationID":"1crf99jmad","properties":{"formattedCitation":"{\\rtf \\super 25\\nosupersub{}}","plainCitation":"25"},"citationItems":[{"id":79,"uris":["http://zotero.org/users/2673476/items/K4IE5JC5"],"uri":["http://zotero.org/users/2673476/items/K4IE5JC5"],"itemData":{"id":79,"type":"paper-conference","title":"Peregrine: Lightweight gene name normalization by dictionary lookup","container-title":"Proc of the Second BioCreative Challenge Evaluation Workshop","page":"131–133","author":[{"family":"Schuemie","given":"Martijn J"},{"family":"Jelier","given":"Rob"},{"family":"Kors","given":"Jan A"}],"issued":{"date-parts":[["2007"]]}}}],"schema":"https://github.com/citation-style-language/schema/raw/master/csl-citation.json"} </w:instrText>
      </w:r>
      <w:r w:rsidR="001B611C">
        <w:fldChar w:fldCharType="separate"/>
      </w:r>
      <w:r w:rsidR="008E0E8D" w:rsidRPr="008E0E8D">
        <w:rPr>
          <w:rFonts w:ascii="Calibri" w:hAnsi="Calibri"/>
          <w:szCs w:val="24"/>
          <w:vertAlign w:val="superscript"/>
        </w:rPr>
        <w:t>25</w:t>
      </w:r>
      <w:r w:rsidR="001B611C">
        <w:fldChar w:fldCharType="end"/>
      </w:r>
    </w:p>
    <w:p w14:paraId="3EEACF25" w14:textId="0C822BE9" w:rsidR="00674B6B" w:rsidRDefault="00B10E7A">
      <w:r>
        <w:t xml:space="preserve">CodeMapper </w:t>
      </w:r>
      <w:r w:rsidR="009E67FC">
        <w:t xml:space="preserve">provides </w:t>
      </w:r>
      <w:r>
        <w:t xml:space="preserve">two operations </w:t>
      </w:r>
      <w:r w:rsidR="00791E66">
        <w:t xml:space="preserve">to improve the sensitivity of the mapping by </w:t>
      </w:r>
      <w:r w:rsidR="001118C4">
        <w:t>expand</w:t>
      </w:r>
      <w:r w:rsidR="00791E66">
        <w:t>ing a</w:t>
      </w:r>
      <w:r w:rsidR="001118C4">
        <w:t xml:space="preserve"> </w:t>
      </w:r>
      <w:r>
        <w:t>concept to more general or more specific concepts, based on the hierarchical relationships in the Metathesaurus. Hierarchical relationships connect concepts that are more general or more specific in meaning (figure</w:t>
      </w:r>
      <w:r w:rsidR="00693363">
        <w:t> </w:t>
      </w:r>
      <w:r>
        <w:t xml:space="preserve">1, bottom centre). For example, the concept for </w:t>
      </w:r>
      <w:r>
        <w:rPr>
          <w:i/>
        </w:rPr>
        <w:t xml:space="preserve">Coughing </w:t>
      </w:r>
      <w:r>
        <w:t xml:space="preserve">is connected to the more general concept </w:t>
      </w:r>
      <w:r>
        <w:rPr>
          <w:i/>
        </w:rPr>
        <w:t>Respiratory Disorders,</w:t>
      </w:r>
      <w:r>
        <w:t xml:space="preserve"> and to the more specific concept </w:t>
      </w:r>
      <w:r>
        <w:rPr>
          <w:i/>
        </w:rPr>
        <w:t>Paroxysmal cough</w:t>
      </w:r>
      <w:r>
        <w:t xml:space="preserve">. To expand a concept in CodeMapper, all concepts that have a more general or more specific relationship with it are identified and displayed in the application for selection by the user. Hierarchical relationships in the Metathesaurus are </w:t>
      </w:r>
      <w:r w:rsidR="00B631E2">
        <w:t>inherited from the</w:t>
      </w:r>
      <w:r>
        <w:t xml:space="preserve"> source </w:t>
      </w:r>
      <w:r>
        <w:lastRenderedPageBreak/>
        <w:t xml:space="preserve">vocabularies </w:t>
      </w:r>
      <w:r w:rsidR="00725F6B">
        <w:t xml:space="preserve">or </w:t>
      </w:r>
      <w:r w:rsidR="00CB6366">
        <w:t>defined in</w:t>
      </w:r>
      <w:r w:rsidR="009C58EE">
        <w:t xml:space="preserve"> the Metathesaurus</w:t>
      </w:r>
      <w:r w:rsidR="00CB04DE">
        <w:t>.</w:t>
      </w:r>
      <w:r w:rsidR="00D4408B">
        <w:fldChar w:fldCharType="begin"/>
      </w:r>
      <w:r w:rsidR="008E0E8D">
        <w:instrText xml:space="preserve"> ADDIN ZOTERO_ITEM CSL_CITATION {"citationID":"1id85ubf6o","properties":{"formattedCitation":"{\\rtf \\super 26\\nosupersub{}}","plainCitation":"26"},"citationItems":[{"id":311,"uris":["http://zotero.org/users/2673476/items/EMEND3P5"],"uri":["http://zotero.org/users/2673476/items/EMEND3P5"],"itemData":{"id":311,"type":"book","title":"Relationships in the Organization of Knowledge","publisher":"Springer Science &amp; Business Media","number-of-pages":"239","source":"Google Books","abstract":"Relationships abound in the library and information science (LIS) world. Those relationships may be social in nature, as, for instance, when we deal with human relationships among library personnel or relationships (i. e. , \"public relations\") between an information center and its clientele. The relationships may be educational, as, for example, when we examine the relationship between the curriculum of an accredited school and the needs of the work force it is preparing students to join. Or the relationships may be economic, as when we investigate the relationship between the cost of journals and the frequency with which they are cited. Many of the relationships of concern to us reflect phenomena entirely internal to the field: the relationship between manuscript collections, archives, and special collections; the relationship between end user search behavior and the effectiveness of searches; the relationship between access to and use of information resources; the relationship between recall and precision; the relationship between various bibliometric laws; etc. The list of such relationships could go on and on. The relationships addressed in this volume are restricted to those involved in the organization of recorded knowledge, which tend to have a conceptual or semantic basis, although statistical means are sometimes used in their discovery.","ISBN":"978-94-015-9696-1","note":"Google-Books-ID: _ZiqCAAAQBAJ","language":"en","author":[{"family":"Bean","given":"A."},{"family":"Green","given":"R."}],"issued":{"date-parts":[["2013",4,17]]}}}],"schema":"https://github.com/citation-style-language/schema/raw/master/csl-citation.json"} </w:instrText>
      </w:r>
      <w:r w:rsidR="00D4408B">
        <w:fldChar w:fldCharType="separate"/>
      </w:r>
      <w:r w:rsidR="008E0E8D" w:rsidRPr="008E0E8D">
        <w:rPr>
          <w:rFonts w:ascii="Calibri" w:hAnsi="Calibri"/>
          <w:szCs w:val="24"/>
          <w:vertAlign w:val="superscript"/>
        </w:rPr>
        <w:t>26</w:t>
      </w:r>
      <w:r w:rsidR="00D4408B">
        <w:fldChar w:fldCharType="end"/>
      </w:r>
      <w:r>
        <w:t xml:space="preserve"> Both types of hierarchical relationships are taken into account for concept expansion.</w:t>
      </w:r>
    </w:p>
    <w:p w14:paraId="51199E80" w14:textId="77777777" w:rsidR="00674B6B" w:rsidRDefault="00B10E7A">
      <w:r>
        <w:t>The projection of concepts to code sets from the targeted vocabularies follows the identification of equivalent codes in the Metathesaurus (figure</w:t>
      </w:r>
      <w:r w:rsidR="00485769">
        <w:t> </w:t>
      </w:r>
      <w:r>
        <w:t>1, bottom right).</w:t>
      </w:r>
    </w:p>
    <w:p w14:paraId="5EE26918" w14:textId="77777777" w:rsidR="00674B6B" w:rsidRDefault="00B10E7A">
      <w:r>
        <w:t>[FIGURE 1]</w:t>
      </w:r>
    </w:p>
    <w:p w14:paraId="2EE69A55" w14:textId="77777777" w:rsidR="00674B6B" w:rsidRPr="00210587" w:rsidRDefault="00B10E7A" w:rsidP="00210587">
      <w:pPr>
        <w:pStyle w:val="Heading5"/>
      </w:pPr>
      <w:r w:rsidRPr="00210587">
        <w:t>Application</w:t>
      </w:r>
    </w:p>
    <w:p w14:paraId="5FBB75D6" w14:textId="0FAAD2F9" w:rsidR="00674B6B" w:rsidRDefault="00B10E7A">
      <w:r>
        <w:t>The CodeMapper application is implemented as a web application and freely available for non-commercial use (</w:t>
      </w:r>
      <w:hyperlink r:id="rId10">
        <w:r>
          <w:rPr>
            <w:rStyle w:val="InternetLink"/>
          </w:rPr>
          <w:t>https://euadr.erasmusmc.nl/CodeMapper</w:t>
        </w:r>
      </w:hyperlink>
      <w:r>
        <w:t xml:space="preserve">). CodeMapper has three screens. On the first screen, the user enters a clinical case definition of an event as free-text. Medical concepts are automatically identified in the text and highlighted inline. By default, only concepts that belong to the semantic group of </w:t>
      </w:r>
      <w:r w:rsidR="007F6E66">
        <w:rPr>
          <w:i/>
        </w:rPr>
        <w:t>Disorders</w:t>
      </w:r>
      <w:r w:rsidR="007F6E66">
        <w:t xml:space="preserve"> </w:t>
      </w:r>
      <w:r>
        <w:t>are preselected for further processing in the application, but the user can select and deselect any identified concept depending on their relevance for the described event.</w:t>
      </w:r>
    </w:p>
    <w:p w14:paraId="35A46D1B" w14:textId="1395277C" w:rsidR="00674B6B" w:rsidRDefault="00B10E7A">
      <w:r>
        <w:t>The second screen displays the mapping as a table with one row for each medical concept, and one column for each targeted vocabulary (figure</w:t>
      </w:r>
      <w:r w:rsidR="00D96308">
        <w:t> </w:t>
      </w:r>
      <w:r>
        <w:t xml:space="preserve">2). Each cell contains the names of the codes that are used </w:t>
      </w:r>
      <w:r w:rsidR="00D1587E">
        <w:t xml:space="preserve">to represent the medical concept of the row </w:t>
      </w:r>
      <w:r>
        <w:t xml:space="preserve">in the targeted vocabulary of the column. The codes are displayed when the names are hovered over with the mouse. Several user operations are available for revising the mapping. The user can remove concepts from the mapping, search and add concepts, or retrieve more general and more specific concepts. The retrieved concepts are shown in a list and can be selected by the user for inclusion in the mapping. The user can also add or remove vocabularies that should be targeted by the mapping. After every operation, the codes are </w:t>
      </w:r>
      <w:r w:rsidR="002433B9">
        <w:t xml:space="preserve">automatically </w:t>
      </w:r>
      <w:r>
        <w:t>updated and displayed in the table.</w:t>
      </w:r>
    </w:p>
    <w:p w14:paraId="7FFA80E4" w14:textId="77777777" w:rsidR="00B70AA9" w:rsidRDefault="00B10E7A">
      <w:r>
        <w:t>The third screen shows a list of all operations that have been made</w:t>
      </w:r>
      <w:r w:rsidR="0045601F">
        <w:t>,</w:t>
      </w:r>
      <w:r>
        <w:t xml:space="preserve"> for later traceability of the mapping process. When the user saves the mapping, he has to provide a summary of the modifications, which is incorporated into the mapping history. After saving, the mapping and history list are available to other users of the application. Comments can be attached to </w:t>
      </w:r>
      <w:r>
        <w:lastRenderedPageBreak/>
        <w:t>concepts to capture the discussion about the mapping. Concepts can be categorized by tags. Finally, the user can download the mapping as a spreadsheet file, for example to incorporate the codes into extraction queries. The spreadsheet file comprises the original free-text case definition, the concepts of the mapping, the codes for the targeted vocabulary, and the full history of the mapping process.</w:t>
      </w:r>
    </w:p>
    <w:p w14:paraId="482FB419" w14:textId="360CBDC1" w:rsidR="00674B6B" w:rsidRDefault="00B10E7A">
      <w:r>
        <w:t>[FIGURE 2</w:t>
      </w:r>
      <w:r w:rsidR="003B47E9">
        <w:t>a, 2b</w:t>
      </w:r>
      <w:r>
        <w:t>]</w:t>
      </w:r>
    </w:p>
    <w:p w14:paraId="691CF3ED" w14:textId="77777777" w:rsidR="00674B6B" w:rsidRPr="00210587" w:rsidRDefault="00B10E7A" w:rsidP="00210587">
      <w:pPr>
        <w:pStyle w:val="Heading5"/>
      </w:pPr>
      <w:r w:rsidRPr="00210587">
        <w:t>Evaluation</w:t>
      </w:r>
    </w:p>
    <w:p w14:paraId="16C6CAEE" w14:textId="5C96FDCB" w:rsidR="00674B6B" w:rsidRDefault="00B10E7A" w:rsidP="00C57A4E">
      <w:r>
        <w:t xml:space="preserve">We evaluated </w:t>
      </w:r>
      <w:r w:rsidR="00B53C8C">
        <w:t xml:space="preserve">the </w:t>
      </w:r>
      <w:r w:rsidR="00B53C8C" w:rsidRPr="00131C9D">
        <w:t>effectiveness</w:t>
      </w:r>
      <w:r w:rsidR="00131C9D">
        <w:t xml:space="preserve"> </w:t>
      </w:r>
      <w:r w:rsidR="009C0BDB">
        <w:t>of</w:t>
      </w:r>
      <w:r>
        <w:t xml:space="preserve"> CodeMapper</w:t>
      </w:r>
      <w:r w:rsidR="009C0BDB">
        <w:t>’s approac</w:t>
      </w:r>
      <w:r w:rsidR="00A33AB0">
        <w:t xml:space="preserve">h </w:t>
      </w:r>
      <w:r w:rsidR="00C57A4E">
        <w:t>for creating</w:t>
      </w:r>
      <w:r w:rsidR="00A33AB0">
        <w:t xml:space="preserve"> realistic code sets</w:t>
      </w:r>
      <w:r>
        <w:t xml:space="preserve"> </w:t>
      </w:r>
      <w:r w:rsidR="00EC3B0C">
        <w:t>for a number of case definitions</w:t>
      </w:r>
      <w:r w:rsidR="00BE3078">
        <w:t>,</w:t>
      </w:r>
      <w:r w:rsidR="00EC3B0C">
        <w:t xml:space="preserve"> </w:t>
      </w:r>
      <w:r>
        <w:t xml:space="preserve">by comparing code sets </w:t>
      </w:r>
      <w:r w:rsidR="00CD2C66">
        <w:t xml:space="preserve">that were generated with CodeMapper </w:t>
      </w:r>
      <w:r>
        <w:t xml:space="preserve">with manually created reference code sets. We used case definitions and reference code sets from the </w:t>
      </w:r>
      <w:r w:rsidR="00526429">
        <w:t xml:space="preserve">FP-7 funded </w:t>
      </w:r>
      <w:r w:rsidR="00A96F82">
        <w:t>SAFEGUARD project</w:t>
      </w:r>
      <w:r w:rsidR="006E210A">
        <w:t xml:space="preserve"> </w:t>
      </w:r>
      <w:r w:rsidR="00A96F82">
        <w:t>(</w:t>
      </w:r>
      <w:hyperlink r:id="rId11" w:history="1">
        <w:r w:rsidR="00A96F82" w:rsidRPr="00F94286">
          <w:rPr>
            <w:rStyle w:val="Hyperlink"/>
          </w:rPr>
          <w:t>http://www.safeguard</w:t>
        </w:r>
        <w:r w:rsidR="00561A85">
          <w:rPr>
            <w:rStyle w:val="Hyperlink"/>
          </w:rPr>
          <w:noBreakHyphen/>
        </w:r>
        <w:r w:rsidR="00A96F82" w:rsidRPr="00F94286">
          <w:rPr>
            <w:rStyle w:val="Hyperlink"/>
          </w:rPr>
          <w:t>diabetes.org</w:t>
        </w:r>
      </w:hyperlink>
      <w:r w:rsidR="00CB04DE">
        <w:t>),</w:t>
      </w:r>
      <w:r w:rsidR="00A14ADF" w:rsidRPr="000623C3">
        <w:rPr>
          <w:rFonts w:ascii="Calibri" w:hAnsi="Calibri" w:cs="Calibri"/>
        </w:rPr>
        <w:fldChar w:fldCharType="begin"/>
      </w:r>
      <w:r w:rsidR="008E0E8D">
        <w:rPr>
          <w:rFonts w:ascii="Calibri" w:hAnsi="Calibri" w:cs="Calibri"/>
        </w:rPr>
        <w:instrText xml:space="preserve"> ADDIN ZOTERO_ITEM CSL_CITATION {"citationID":"q3aG3F9d","properties":{"formattedCitation":"{\\rtf \\super 27\\nosupersub{}}","plainCitation":"27"},"citationItems":[{"id":124,"uris":["http://zotero.org/users/2673476/items/VZTPJF49"],"uri":["http://zotero.org/users/2673476/items/VZTPJF49"],"itemData":{"id":124,"type":"webpage","title":"Benchmarking of Definitions and Algorithms to Extract Outcome Events in the EU-funded SAFEGUARD Project","URL":"http://www.safeguard-diabetes.org/?q=system/files/private/SAFEGUARD_DGEpi_2013_Benchmarking_FINAL.pdf","author":[{"family":"Schmedt","given":"Niklas"},{"family":"Bezemer","given":"Irene"},{"family":"Berardis","given":"Giorgia De"},{"family":"Vries","given":"Corine","dropping-particle":"de"},{"literal":"Miguel Gil"},{"family":"Hense","given":"Sabrina"},{"family":"Leal","given":"Ingrid"},{"family":"Martin","given":"Elisa"},{"family":"Masclee","given":"Gwen"},{"family":"Trifirò","given":"Gianluca"},{"family":"Requena","given":"Gema"},{"family":"Rijnbeek","given":"Peter"},{"family":"Romio","given":"Silvana"},{"family":"Sammon","given":"Cormac"},{"family":"Scotti","given":"Lorenza"},{"family":"Seeger","given":"John"},{"family":"Smits","given":"Mark"},{"family":"Schink","given":"Tania"},{"family":"Varas-Lorenzo","given":"Cristina"},{"family":"Sturkenboom","given":"Miriam"},{"family":"Garbe","given":"Edeltraut"}],"issued":{"date-parts":[["2013"]]},"accessed":{"date-parts":[["2016",8,11]]}}}],"schema":"https://github.com/citation-style-language/schema/raw/master/csl-citation.json"} </w:instrText>
      </w:r>
      <w:r w:rsidR="00A14ADF" w:rsidRPr="000623C3">
        <w:rPr>
          <w:rFonts w:ascii="Calibri" w:hAnsi="Calibri" w:cs="Calibri"/>
        </w:rPr>
        <w:fldChar w:fldCharType="separate"/>
      </w:r>
      <w:r w:rsidR="008E0E8D" w:rsidRPr="008E0E8D">
        <w:rPr>
          <w:rFonts w:ascii="Calibri" w:hAnsi="Calibri"/>
          <w:szCs w:val="24"/>
          <w:vertAlign w:val="superscript"/>
        </w:rPr>
        <w:t>27</w:t>
      </w:r>
      <w:r w:rsidR="00A14ADF" w:rsidRPr="000623C3">
        <w:rPr>
          <w:rFonts w:ascii="Calibri" w:hAnsi="Calibri" w:cs="Calibri"/>
        </w:rPr>
        <w:fldChar w:fldCharType="end"/>
      </w:r>
      <w:r w:rsidR="00786D3B">
        <w:t xml:space="preserve"> which was conducted in </w:t>
      </w:r>
      <w:r w:rsidR="00E935CD">
        <w:t>nine</w:t>
      </w:r>
      <w:r w:rsidR="00786D3B">
        <w:t xml:space="preserve"> different </w:t>
      </w:r>
      <w:r w:rsidR="009E6C3A">
        <w:t>EHR</w:t>
      </w:r>
      <w:r w:rsidR="00786D3B">
        <w:t xml:space="preserve"> databases in the EU and USA. T</w:t>
      </w:r>
      <w:r w:rsidR="00526429">
        <w:t xml:space="preserve">he </w:t>
      </w:r>
      <w:r w:rsidR="005D599C">
        <w:t xml:space="preserve">full </w:t>
      </w:r>
      <w:r w:rsidR="00463ECE">
        <w:t xml:space="preserve">study </w:t>
      </w:r>
      <w:r w:rsidR="00526429">
        <w:t>protocol</w:t>
      </w:r>
      <w:r w:rsidR="00771B01">
        <w:t>,</w:t>
      </w:r>
      <w:r w:rsidR="00526429">
        <w:t xml:space="preserve"> </w:t>
      </w:r>
      <w:r w:rsidR="00771B01">
        <w:t xml:space="preserve">which includes the case definitions, </w:t>
      </w:r>
      <w:r w:rsidR="00526429">
        <w:t>can be found in the EU-PAS registry</w:t>
      </w:r>
      <w:r w:rsidR="00786D3B">
        <w:t xml:space="preserve"> (</w:t>
      </w:r>
      <w:hyperlink r:id="rId12" w:history="1">
        <w:r w:rsidR="00786D3B" w:rsidRPr="005908BC">
          <w:rPr>
            <w:rStyle w:val="Hyperlink"/>
          </w:rPr>
          <w:t>http://www.encepp.eu/encepp/viewResource.htm?id=8323</w:t>
        </w:r>
      </w:hyperlink>
      <w:r w:rsidR="00786D3B">
        <w:t>)</w:t>
      </w:r>
      <w:r>
        <w:t xml:space="preserve">. This project was selected for the variety of mapped events and the range of targeted vocabularies. The manual mapping process consisted of </w:t>
      </w:r>
      <w:r w:rsidR="00F25359">
        <w:t xml:space="preserve">deriving operational definition from the </w:t>
      </w:r>
      <w:r>
        <w:t>textual case definition, choosing codes from the targeted vocabularies without the use of the Metathesaurus, and refining the code set based on feedback from database custodians. The reference mappings also contained exclusion codes, which were n</w:t>
      </w:r>
      <w:r w:rsidR="00921DFC">
        <w:t>ot considered in the evaluation</w:t>
      </w:r>
      <w:r>
        <w:t xml:space="preserve"> because they were not generally </w:t>
      </w:r>
      <w:r w:rsidR="00921DFC">
        <w:t xml:space="preserve">derived from </w:t>
      </w:r>
      <w:r>
        <w:t>the case definition</w:t>
      </w:r>
      <w:r w:rsidR="00E605E4">
        <w:t>s</w:t>
      </w:r>
      <w:r>
        <w:t>.</w:t>
      </w:r>
    </w:p>
    <w:p w14:paraId="6363BB4A" w14:textId="279344C4" w:rsidR="00674B6B" w:rsidRDefault="00B10E7A" w:rsidP="00092537">
      <w:pPr>
        <w:spacing w:before="100" w:after="100"/>
      </w:pPr>
      <w:r>
        <w:t xml:space="preserve">SAFEGUARD studied nine events: acute pancreatitis, bladder cancer, haemorrhagic stroke, heart failure, ischemic stroke, </w:t>
      </w:r>
      <w:r w:rsidR="0004007D">
        <w:t xml:space="preserve">acute </w:t>
      </w:r>
      <w:r>
        <w:t xml:space="preserve">myocardial </w:t>
      </w:r>
      <w:r w:rsidR="0004007D">
        <w:t>i</w:t>
      </w:r>
      <w:r>
        <w:t xml:space="preserve">nfarction, pancreatic cancer, sudden cardiac death, and ventricular arrhythmia. One event (sudden cardiac death) was excluded from the evaluation because of several missing code sets, and another (heart failure) because the case definition contained only a short symptomatic description of the event, unrelated to the codes representing the event. The events were mapped for </w:t>
      </w:r>
      <w:r w:rsidR="0039210E">
        <w:t>nine</w:t>
      </w:r>
      <w:r w:rsidR="00297AAE">
        <w:t xml:space="preserve"> </w:t>
      </w:r>
      <w:r>
        <w:t xml:space="preserve">EHR databases with four vocabularies: </w:t>
      </w:r>
      <w:r w:rsidR="00430F0A">
        <w:t>Medicare, PHARMO, HSD</w:t>
      </w:r>
      <w:r w:rsidR="003116DF">
        <w:t xml:space="preserve"> and </w:t>
      </w:r>
      <w:r w:rsidR="00430F0A">
        <w:t xml:space="preserve">regional </w:t>
      </w:r>
      <w:r w:rsidR="00C16908">
        <w:t xml:space="preserve">EHR databases </w:t>
      </w:r>
      <w:r w:rsidR="003116DF">
        <w:t xml:space="preserve">from Lombardy and Puglia </w:t>
      </w:r>
      <w:r>
        <w:lastRenderedPageBreak/>
        <w:t>(all these databases use ICD</w:t>
      </w:r>
      <w:r w:rsidR="00561A85">
        <w:noBreakHyphen/>
      </w:r>
      <w:r>
        <w:t>9</w:t>
      </w:r>
      <w:r w:rsidR="00E677C7">
        <w:t> </w:t>
      </w:r>
      <w:r>
        <w:t xml:space="preserve">CM), </w:t>
      </w:r>
      <w:proofErr w:type="spellStart"/>
      <w:r>
        <w:t>GePaRD</w:t>
      </w:r>
      <w:proofErr w:type="spellEnd"/>
      <w:r>
        <w:t xml:space="preserve"> (ICD</w:t>
      </w:r>
      <w:r w:rsidR="00561A85">
        <w:noBreakHyphen/>
      </w:r>
      <w:r>
        <w:t xml:space="preserve">10, German modifications), IPCI </w:t>
      </w:r>
      <w:r w:rsidR="00E138B1">
        <w:t xml:space="preserve">and BIFAP </w:t>
      </w:r>
      <w:r>
        <w:t>(</w:t>
      </w:r>
      <w:r w:rsidR="00915AE9">
        <w:t xml:space="preserve">both </w:t>
      </w:r>
      <w:r>
        <w:t>ICPC</w:t>
      </w:r>
      <w:r w:rsidR="00561A85">
        <w:noBreakHyphen/>
      </w:r>
      <w:r>
        <w:t>2</w:t>
      </w:r>
      <w:r w:rsidR="009E6492">
        <w:t xml:space="preserve"> and</w:t>
      </w:r>
      <w:r w:rsidR="008B7E0F">
        <w:t xml:space="preserve"> keywords</w:t>
      </w:r>
      <w:r>
        <w:t>), and CPRD (</w:t>
      </w:r>
      <w:r w:rsidR="002C6107">
        <w:t>Read</w:t>
      </w:r>
      <w:r w:rsidR="00561A85">
        <w:noBreakHyphen/>
      </w:r>
      <w:r>
        <w:t>2). We selected the code sets for Medicare for ICD</w:t>
      </w:r>
      <w:r w:rsidR="00561A85">
        <w:noBreakHyphen/>
      </w:r>
      <w:r>
        <w:t>9</w:t>
      </w:r>
      <w:r w:rsidR="00E677C7">
        <w:t> </w:t>
      </w:r>
      <w:r>
        <w:t>CM as the reference since it contained less database-specific additions than the other code sets using ICD</w:t>
      </w:r>
      <w:r w:rsidR="00561A85">
        <w:noBreakHyphen/>
      </w:r>
      <w:r>
        <w:t>9</w:t>
      </w:r>
      <w:r w:rsidR="00E677C7">
        <w:t> </w:t>
      </w:r>
      <w:r>
        <w:t xml:space="preserve">CM. The codes for </w:t>
      </w:r>
      <w:proofErr w:type="spellStart"/>
      <w:r>
        <w:t>GePaRD</w:t>
      </w:r>
      <w:proofErr w:type="spellEnd"/>
      <w:r>
        <w:t xml:space="preserve"> are contained by the ICD</w:t>
      </w:r>
      <w:r w:rsidR="00561A85">
        <w:noBreakHyphen/>
      </w:r>
      <w:r>
        <w:t>10 and ICD</w:t>
      </w:r>
      <w:r w:rsidR="00561A85">
        <w:noBreakHyphen/>
      </w:r>
      <w:r>
        <w:t>10</w:t>
      </w:r>
      <w:r w:rsidR="00E677C7">
        <w:t> </w:t>
      </w:r>
      <w:r>
        <w:t>CM vocabularies in the UMLS, so we combined the codes generated by CodeMapper for these vocabularies. The Metathesaurus covers only CT</w:t>
      </w:r>
      <w:r w:rsidR="00933912">
        <w:t>v</w:t>
      </w:r>
      <w:r>
        <w:t xml:space="preserve">3 and not </w:t>
      </w:r>
      <w:r w:rsidR="00672136">
        <w:t>Read</w:t>
      </w:r>
      <w:r w:rsidR="00561A85">
        <w:noBreakHyphen/>
      </w:r>
      <w:r>
        <w:t>2. To generate codes for R</w:t>
      </w:r>
      <w:r w:rsidR="00672136">
        <w:t>ead</w:t>
      </w:r>
      <w:r w:rsidR="00561A85">
        <w:noBreakHyphen/>
      </w:r>
      <w:r>
        <w:t>2, a translation table between R</w:t>
      </w:r>
      <w:r w:rsidR="00672136">
        <w:t>ead</w:t>
      </w:r>
      <w:r w:rsidR="00561A85">
        <w:noBreakHyphen/>
      </w:r>
      <w:r>
        <w:t xml:space="preserve">2 and </w:t>
      </w:r>
      <w:r w:rsidR="00446058">
        <w:t>CT</w:t>
      </w:r>
      <w:r w:rsidR="00933912">
        <w:t>v</w:t>
      </w:r>
      <w:r w:rsidR="00446058">
        <w:t>3</w:t>
      </w:r>
      <w:r>
        <w:t xml:space="preserve"> was integrated into CodeMapper</w:t>
      </w:r>
      <w:r w:rsidR="00446058">
        <w:t xml:space="preserve"> (</w:t>
      </w:r>
      <w:r w:rsidR="0030609A">
        <w:t xml:space="preserve">available at the </w:t>
      </w:r>
      <w:r w:rsidR="00446058">
        <w:t xml:space="preserve">Health &amp; Social Care Information Centre, </w:t>
      </w:r>
      <w:hyperlink>
        <w:r w:rsidR="00446058" w:rsidRPr="009E0034">
          <w:rPr>
            <w:rStyle w:val="Hyperlink"/>
          </w:rPr>
          <w:t>https://isd.hscic.gov.uk)</w:t>
        </w:r>
      </w:hyperlink>
      <w:r>
        <w:t>. Codes from the IPCI mapping were trimmed to three digits to adjust for the database-specific codes in IPCI.</w:t>
      </w:r>
    </w:p>
    <w:p w14:paraId="0414F3E2" w14:textId="3DC4AEEB" w:rsidR="00674B6B" w:rsidRDefault="00B10E7A">
      <w:r>
        <w:t>Overall, the reference code sets contained 420 codes (table</w:t>
      </w:r>
      <w:r w:rsidR="00E677C7">
        <w:t> </w:t>
      </w:r>
      <w:r>
        <w:t>1).The size of the reference code sets vary widely between vocabularies: on average, the code sets for R</w:t>
      </w:r>
      <w:r w:rsidR="00C73ADB">
        <w:t>ead</w:t>
      </w:r>
      <w:r w:rsidR="00561A85">
        <w:noBreakHyphen/>
      </w:r>
      <w:r>
        <w:t>2 contain 48.3 codes, whereas the code sets for ICPC</w:t>
      </w:r>
      <w:r w:rsidR="00561A85">
        <w:noBreakHyphen/>
      </w:r>
      <w:r>
        <w:t>2 contain 1.1 codes. This discrepancy is firstly due to the differences of granularity of the vocabularies (R</w:t>
      </w:r>
      <w:r w:rsidR="00C73ADB">
        <w:t>ead</w:t>
      </w:r>
      <w:r w:rsidR="00561A85">
        <w:noBreakHyphen/>
      </w:r>
      <w:r>
        <w:t xml:space="preserve">2 has 77290 codes in the </w:t>
      </w:r>
      <w:r w:rsidR="00724082">
        <w:t>Metathesaurus</w:t>
      </w:r>
      <w:r>
        <w:t>, ICPC</w:t>
      </w:r>
      <w:r w:rsidR="00561A85">
        <w:noBreakHyphen/>
      </w:r>
      <w:r>
        <w:t>2 only 1397). Secondly, the queries to the IPCI database (to which the ICPC</w:t>
      </w:r>
      <w:r w:rsidR="00561A85">
        <w:noBreakHyphen/>
      </w:r>
      <w:r>
        <w:t>2 code sets are targeted) are supported by keyword searches on the free-text portion of the IPCI medical records and additional exclusion criteria.</w:t>
      </w:r>
    </w:p>
    <w:p w14:paraId="32DCCB17" w14:textId="77777777" w:rsidR="00674B6B" w:rsidRDefault="00B10E7A">
      <w:r>
        <w:t>[TABLE 1]</w:t>
      </w:r>
    </w:p>
    <w:p w14:paraId="5B680EB7" w14:textId="0A94DCC2" w:rsidR="00674B6B" w:rsidRDefault="00387DCC" w:rsidP="00EF2B27">
      <w:r>
        <w:t xml:space="preserve">Different code sets were generated </w:t>
      </w:r>
      <w:r w:rsidR="00964919">
        <w:t xml:space="preserve">fully automatically </w:t>
      </w:r>
      <w:r>
        <w:t xml:space="preserve">by </w:t>
      </w:r>
      <w:r w:rsidR="00C33D59">
        <w:t xml:space="preserve">CodeMapper </w:t>
      </w:r>
      <w:r>
        <w:t xml:space="preserve">for the events of the reference project based on </w:t>
      </w:r>
      <w:r w:rsidR="00C33D59">
        <w:t>the same case definitions</w:t>
      </w:r>
      <w:r w:rsidR="00B10E7A">
        <w:t xml:space="preserve">. </w:t>
      </w:r>
      <w:r w:rsidR="00890A73">
        <w:t xml:space="preserve">The </w:t>
      </w:r>
      <w:r w:rsidR="00B10E7A">
        <w:t>baseline code set</w:t>
      </w:r>
      <w:r w:rsidR="00DC4C3C">
        <w:t>s</w:t>
      </w:r>
      <w:r w:rsidR="00B10E7A">
        <w:t xml:space="preserve"> resulted from the concepts identified in the case definition (</w:t>
      </w:r>
      <w:r w:rsidR="006350E4">
        <w:t>figure</w:t>
      </w:r>
      <w:r w:rsidR="00D85EA7">
        <w:t> </w:t>
      </w:r>
      <w:r w:rsidR="006350E4">
        <w:t>3</w:t>
      </w:r>
      <w:r w:rsidR="00B10E7A">
        <w:t xml:space="preserve">). We then simulated the actions of an “informed user” who </w:t>
      </w:r>
      <w:r w:rsidR="00A327FD">
        <w:t xml:space="preserve">seeks </w:t>
      </w:r>
      <w:r w:rsidR="00B10E7A">
        <w:t xml:space="preserve">to improve the sensitivity of the mapping. We assumed that this user would expand the concepts and, from all possible concepts that are more general or more specific, would only retain those that </w:t>
      </w:r>
      <w:r w:rsidR="00790B47">
        <w:t>are relevant to the event.</w:t>
      </w:r>
      <w:r w:rsidR="00B10E7A">
        <w:t xml:space="preserve"> </w:t>
      </w:r>
      <w:r w:rsidR="00EF2B27">
        <w:t xml:space="preserve">Based on </w:t>
      </w:r>
      <w:r w:rsidR="006F2643">
        <w:t xml:space="preserve">the </w:t>
      </w:r>
      <w:r w:rsidR="00EF2B27">
        <w:t xml:space="preserve">reference set we were able to </w:t>
      </w:r>
      <w:r w:rsidR="00CD0B50">
        <w:t xml:space="preserve">automatically </w:t>
      </w:r>
      <w:r w:rsidR="00EF2B27">
        <w:t>simulate the</w:t>
      </w:r>
      <w:r w:rsidR="00073B7D">
        <w:t xml:space="preserve"> “informed user's”</w:t>
      </w:r>
      <w:r w:rsidR="00EF2B27">
        <w:t xml:space="preserve"> actions. </w:t>
      </w:r>
      <w:r w:rsidR="00B10E7A">
        <w:t>The resultant set of concepts defined a new code set</w:t>
      </w:r>
      <w:r w:rsidR="00641912">
        <w:t xml:space="preserve">, which </w:t>
      </w:r>
      <w:r w:rsidR="00CA03ED">
        <w:t xml:space="preserve">always contained </w:t>
      </w:r>
      <w:r w:rsidR="00B77A9E">
        <w:t>all</w:t>
      </w:r>
      <w:r w:rsidR="00CA03ED">
        <w:t xml:space="preserve"> codes from </w:t>
      </w:r>
      <w:r w:rsidR="00641912">
        <w:t>the preceding code set</w:t>
      </w:r>
      <w:r w:rsidR="00B10E7A">
        <w:t>. We simulated four of these expansion steps on successive concept sets.</w:t>
      </w:r>
    </w:p>
    <w:p w14:paraId="420968C2" w14:textId="51A3BFF3" w:rsidR="00674B6B" w:rsidRDefault="00B10E7A">
      <w:r>
        <w:lastRenderedPageBreak/>
        <w:t xml:space="preserve">For each target vocabulary and event, the generated </w:t>
      </w:r>
      <w:r w:rsidR="00373CC3">
        <w:t xml:space="preserve">code set was </w:t>
      </w:r>
      <w:r>
        <w:t>compared with the reference code set. We determined the number of true-positive codes (TP), false-positive codes (FP), and false-negative codes (FN), and computed sensitivity (TP / (TP + FN)) and positive predictive value (PPV) (TP / (TP + FP)). We report for each vocabulary the sensitivity and PPV averaged over all events in the reference set.</w:t>
      </w:r>
    </w:p>
    <w:p w14:paraId="7E04B1FD" w14:textId="77777777" w:rsidR="00674B6B" w:rsidRDefault="00B10E7A">
      <w:pPr>
        <w:keepNext/>
        <w:rPr>
          <w:lang w:eastAsia="en-GB"/>
        </w:rPr>
      </w:pPr>
      <w:r>
        <w:rPr>
          <w:lang w:eastAsia="en-GB"/>
        </w:rPr>
        <w:t>[FIGURE 3]</w:t>
      </w:r>
    </w:p>
    <w:p w14:paraId="152D3D1C" w14:textId="77777777" w:rsidR="00674B6B" w:rsidRPr="00210587" w:rsidRDefault="00B10E7A" w:rsidP="00210587">
      <w:pPr>
        <w:pStyle w:val="Heading5"/>
      </w:pPr>
      <w:r w:rsidRPr="00210587">
        <w:t>Error analysis</w:t>
      </w:r>
    </w:p>
    <w:p w14:paraId="038E1AF1" w14:textId="71344A0C" w:rsidR="00674B6B" w:rsidRDefault="00B10E7A">
      <w:r>
        <w:t xml:space="preserve">We </w:t>
      </w:r>
      <w:r w:rsidR="00A817B2">
        <w:t xml:space="preserve">then </w:t>
      </w:r>
      <w:r>
        <w:t xml:space="preserve">carried out an </w:t>
      </w:r>
      <w:r w:rsidR="00F83FD8">
        <w:t xml:space="preserve">automatic </w:t>
      </w:r>
      <w:r>
        <w:t xml:space="preserve">error analysis of the </w:t>
      </w:r>
      <w:r w:rsidR="00C81A26">
        <w:t xml:space="preserve">false-positive and false-negative </w:t>
      </w:r>
      <w:r>
        <w:t>codes after the third expansion step (figure</w:t>
      </w:r>
      <w:r w:rsidR="0023597C">
        <w:t> </w:t>
      </w:r>
      <w:r>
        <w:t xml:space="preserve">4). </w:t>
      </w:r>
      <w:r w:rsidR="00E4192A">
        <w:t>The definition</w:t>
      </w:r>
      <w:r w:rsidR="00072618">
        <w:t>s</w:t>
      </w:r>
      <w:r w:rsidR="00E4192A">
        <w:t xml:space="preserve"> of </w:t>
      </w:r>
      <w:r w:rsidR="00BF2641">
        <w:t xml:space="preserve">the </w:t>
      </w:r>
      <w:r w:rsidR="00E4192A">
        <w:t>e</w:t>
      </w:r>
      <w:r>
        <w:t>rror categories were based on the notion of sibling codes</w:t>
      </w:r>
      <w:r>
        <w:rPr>
          <w:i/>
        </w:rPr>
        <w:t xml:space="preserve">: </w:t>
      </w:r>
      <w:r>
        <w:t xml:space="preserve">two codes are siblings if they are </w:t>
      </w:r>
      <w:r w:rsidR="00E10D9F">
        <w:t>linked</w:t>
      </w:r>
      <w:r w:rsidR="00374008">
        <w:t xml:space="preserve"> to </w:t>
      </w:r>
      <w:r>
        <w:t>the same concept</w:t>
      </w:r>
      <w:r w:rsidR="007328EC">
        <w:t xml:space="preserve"> in the Metathesaurus</w:t>
      </w:r>
      <w:r>
        <w:t>. For false negatives, we distinguished between codes that are not contained in the Metathesaurus and codes whose siblings are not in the reference sets. False positive codes were categorized as having or not having a true-positive sibling code.</w:t>
      </w:r>
    </w:p>
    <w:p w14:paraId="7DAC32C3" w14:textId="77777777" w:rsidR="00674B6B" w:rsidRDefault="00B10E7A">
      <w:r>
        <w:t>[FIGURE 4]</w:t>
      </w:r>
    </w:p>
    <w:p w14:paraId="52247147" w14:textId="77777777" w:rsidR="00674B6B" w:rsidRDefault="00B10E7A">
      <w:pPr>
        <w:pStyle w:val="Heading1"/>
      </w:pPr>
      <w:r>
        <w:t>Results</w:t>
      </w:r>
    </w:p>
    <w:p w14:paraId="5B1A962B" w14:textId="77777777" w:rsidR="00674B6B" w:rsidRPr="00210587" w:rsidRDefault="00B10E7A" w:rsidP="00210587">
      <w:pPr>
        <w:pStyle w:val="Heading5"/>
      </w:pPr>
      <w:r w:rsidRPr="00210587">
        <w:t>Baseline</w:t>
      </w:r>
    </w:p>
    <w:p w14:paraId="25FFE69C" w14:textId="7E099289" w:rsidR="00674B6B" w:rsidRDefault="00B10E7A">
      <w:r>
        <w:t>The baseline mapping created by CodeMapper had an average sensitivity of 0.246 for reproducing the reference code sets (</w:t>
      </w:r>
      <w:r w:rsidR="0023597C">
        <w:t>table 2</w:t>
      </w:r>
      <w:r>
        <w:t>).The average PPV of the baseline mapping was</w:t>
      </w:r>
      <w:r>
        <w:rPr>
          <w:i/>
        </w:rPr>
        <w:t xml:space="preserve"> </w:t>
      </w:r>
      <w:r>
        <w:t xml:space="preserve">0.420. Without filtering by the semantic group of </w:t>
      </w:r>
      <w:r w:rsidR="0058345D">
        <w:rPr>
          <w:i/>
        </w:rPr>
        <w:t>D</w:t>
      </w:r>
      <w:r>
        <w:rPr>
          <w:i/>
        </w:rPr>
        <w:t>isorders</w:t>
      </w:r>
      <w:r>
        <w:t>, the number of concepts would increase from 46 to 77 without affecting the sensitivity of the codes sets.</w:t>
      </w:r>
    </w:p>
    <w:p w14:paraId="653EB33B" w14:textId="77777777" w:rsidR="00674B6B" w:rsidRDefault="00B10E7A">
      <w:r>
        <w:t>[TABLE 2]</w:t>
      </w:r>
    </w:p>
    <w:p w14:paraId="316EBFFE" w14:textId="77777777" w:rsidR="00674B6B" w:rsidRPr="00210587" w:rsidRDefault="00B10E7A" w:rsidP="00210587">
      <w:pPr>
        <w:pStyle w:val="Heading5"/>
      </w:pPr>
      <w:r w:rsidRPr="00210587">
        <w:t>Concept expansion</w:t>
      </w:r>
    </w:p>
    <w:p w14:paraId="00C839C9" w14:textId="79543B1F" w:rsidR="00674B6B" w:rsidRDefault="00B10E7A">
      <w:r>
        <w:t>The sensitivity of the baseline mapping greatly improved in the first expansion step, to 0.818. Sensitivity further increased in the second (0.940) and third (0.953) expansion steps. All ICPC</w:t>
      </w:r>
      <w:r w:rsidR="00561A85">
        <w:noBreakHyphen/>
      </w:r>
      <w:r>
        <w:t xml:space="preserve">2 </w:t>
      </w:r>
      <w:r>
        <w:lastRenderedPageBreak/>
        <w:t>codes were produced after the first expansion step and all ICD</w:t>
      </w:r>
      <w:r w:rsidR="00561A85">
        <w:noBreakHyphen/>
      </w:r>
      <w:r>
        <w:t>10 codes were produced after the second step. The sensitivity increased incrementally for R</w:t>
      </w:r>
      <w:r w:rsidR="000A0CA0">
        <w:t>ead</w:t>
      </w:r>
      <w:r w:rsidR="00561A85">
        <w:noBreakHyphen/>
      </w:r>
      <w:r>
        <w:t>2 and ICD</w:t>
      </w:r>
      <w:r w:rsidR="00561A85">
        <w:noBreakHyphen/>
      </w:r>
      <w:r>
        <w:t>9</w:t>
      </w:r>
      <w:r w:rsidR="009863AF">
        <w:t> </w:t>
      </w:r>
      <w:r>
        <w:t xml:space="preserve">CM. The PPV improved after one expansion step (0.633) and decreased slightly after two (0.621) and three (0.616) expansion steps. The performance did not improve further in a fourth expansion step. </w:t>
      </w:r>
      <w:r w:rsidR="000D03DD">
        <w:t xml:space="preserve">The sensitivity </w:t>
      </w:r>
      <w:r w:rsidR="00C03347">
        <w:t xml:space="preserve">was </w:t>
      </w:r>
      <w:r w:rsidR="000D03DD">
        <w:t xml:space="preserve">lower after three expansion steps when using </w:t>
      </w:r>
      <w:r>
        <w:t xml:space="preserve">only hierarchical relationships </w:t>
      </w:r>
      <w:r w:rsidR="00681600">
        <w:t xml:space="preserve">that were </w:t>
      </w:r>
      <w:r w:rsidR="002E0DE9">
        <w:t xml:space="preserve">inherited from </w:t>
      </w:r>
      <w:r>
        <w:t xml:space="preserve">the source vocabularies </w:t>
      </w:r>
      <w:r w:rsidR="000D03DD">
        <w:t xml:space="preserve">(0.928) </w:t>
      </w:r>
      <w:r>
        <w:t>or</w:t>
      </w:r>
      <w:r w:rsidR="00CA74BF">
        <w:t xml:space="preserve"> </w:t>
      </w:r>
      <w:r w:rsidR="00DD11A6">
        <w:t xml:space="preserve">defined in </w:t>
      </w:r>
      <w:r>
        <w:t xml:space="preserve">the Metathesaurus </w:t>
      </w:r>
      <w:r w:rsidR="003229F7">
        <w:t>(0.879).</w:t>
      </w:r>
    </w:p>
    <w:p w14:paraId="4AB3C9DA" w14:textId="77777777" w:rsidR="00674B6B" w:rsidRDefault="00B10E7A">
      <w:pPr>
        <w:pStyle w:val="Heading5"/>
      </w:pPr>
      <w:r>
        <w:t>Error analysis</w:t>
      </w:r>
    </w:p>
    <w:p w14:paraId="6E539C5A" w14:textId="77777777" w:rsidR="00674B6B" w:rsidRDefault="00B10E7A">
      <w:r>
        <w:t>False-positive codes were generated in all vocabularies after the thi</w:t>
      </w:r>
      <w:r w:rsidR="000A3BCD">
        <w:t>rd expansion step (N=234, table </w:t>
      </w:r>
      <w:r>
        <w:t xml:space="preserve">3). Most false-positive codes had true-positive siblings (N=164; 70.1%). False-positive codes without true-positive siblings (N=70; 29.9%) resulted from the </w:t>
      </w:r>
      <w:r w:rsidR="00CF3B06">
        <w:t xml:space="preserve">initial </w:t>
      </w:r>
      <w:r>
        <w:t>concept identification step because the concept expansion steps (simulating the informed user) added only concepts with true-positive codes.</w:t>
      </w:r>
    </w:p>
    <w:p w14:paraId="18A21D49" w14:textId="176158A2" w:rsidR="00674B6B" w:rsidRDefault="00B10E7A">
      <w:r>
        <w:t>False-negative codes occurred only</w:t>
      </w:r>
      <w:r w:rsidR="00602F0F">
        <w:t xml:space="preserve"> for R</w:t>
      </w:r>
      <w:r w:rsidR="000A0CA0">
        <w:t>ead</w:t>
      </w:r>
      <w:r w:rsidR="00561A85">
        <w:noBreakHyphen/>
      </w:r>
      <w:r w:rsidR="00602F0F">
        <w:t>2 and ICD</w:t>
      </w:r>
      <w:r w:rsidR="00561A85">
        <w:noBreakHyphen/>
      </w:r>
      <w:r w:rsidR="00602F0F">
        <w:t>9</w:t>
      </w:r>
      <w:r w:rsidR="00012C8B">
        <w:t> </w:t>
      </w:r>
      <w:r w:rsidR="00602F0F">
        <w:t>CM (table </w:t>
      </w:r>
      <w:r>
        <w:t>4). Most false negative codes did not have any sibling</w:t>
      </w:r>
      <w:r w:rsidR="00130105">
        <w:t>s</w:t>
      </w:r>
      <w:r>
        <w:t xml:space="preserve"> in the reference set (N=24; 68.6%), suggesting that the code was added to the reference set due to database specific needs. Other false-negative R</w:t>
      </w:r>
      <w:r w:rsidR="000A0CA0">
        <w:t>ead</w:t>
      </w:r>
      <w:r w:rsidR="00561A85">
        <w:noBreakHyphen/>
      </w:r>
      <w:r>
        <w:t>2 codes were not contained in</w:t>
      </w:r>
      <w:r w:rsidR="008F38D7">
        <w:t xml:space="preserve"> the conversion table from CT</w:t>
      </w:r>
      <w:r w:rsidR="00933912">
        <w:t>v</w:t>
      </w:r>
      <w:r w:rsidR="00722EA1">
        <w:t>3 to R</w:t>
      </w:r>
      <w:r w:rsidR="000A0CA0">
        <w:t>ead</w:t>
      </w:r>
      <w:r w:rsidR="00561A85">
        <w:noBreakHyphen/>
      </w:r>
      <w:r w:rsidR="00722EA1">
        <w:t>2 codes, or the CT</w:t>
      </w:r>
      <w:r w:rsidR="00933912">
        <w:t>v</w:t>
      </w:r>
      <w:r>
        <w:t>3 codes corresponding with the R</w:t>
      </w:r>
      <w:r w:rsidR="000A0CA0">
        <w:t>ead</w:t>
      </w:r>
      <w:r w:rsidR="00561A85">
        <w:noBreakHyphen/>
      </w:r>
      <w:r>
        <w:t xml:space="preserve">2 codes were not in the </w:t>
      </w:r>
      <w:r w:rsidR="00724082">
        <w:t xml:space="preserve">Metathesaurus </w:t>
      </w:r>
      <w:r>
        <w:t>(N=11; 31.4%).</w:t>
      </w:r>
    </w:p>
    <w:p w14:paraId="1E4A4546" w14:textId="77777777" w:rsidR="00674B6B" w:rsidRDefault="00B10E7A">
      <w:r>
        <w:t>A mapping constructed to maximize sensitivity by selecting concepts to generate all available codes from the reference sets had a sensitivity of 0.991 and PPV of 0.733.</w:t>
      </w:r>
    </w:p>
    <w:p w14:paraId="22505A69" w14:textId="77777777" w:rsidR="00674B6B" w:rsidRDefault="00B10E7A">
      <w:r>
        <w:t>[TABLE 3, 4]</w:t>
      </w:r>
    </w:p>
    <w:p w14:paraId="7FA928A9" w14:textId="77777777" w:rsidR="00674B6B" w:rsidRDefault="00B10E7A">
      <w:pPr>
        <w:pStyle w:val="Heading1"/>
      </w:pPr>
      <w:r>
        <w:t>Discussion</w:t>
      </w:r>
    </w:p>
    <w:p w14:paraId="1789D648" w14:textId="56839C22" w:rsidR="00674B6B" w:rsidRDefault="00B10E7A">
      <w:r>
        <w:t xml:space="preserve">In this article, we presented the CodeMapper web application that assists </w:t>
      </w:r>
      <w:r w:rsidR="008450D2">
        <w:t xml:space="preserve">in </w:t>
      </w:r>
      <w:r>
        <w:t xml:space="preserve">the mapping of textual case definitions to code sets from </w:t>
      </w:r>
      <w:r w:rsidR="00564379">
        <w:t xml:space="preserve">multiple </w:t>
      </w:r>
      <w:r>
        <w:t xml:space="preserve">vocabularies, which is often a bottleneck in </w:t>
      </w:r>
      <w:r>
        <w:lastRenderedPageBreak/>
        <w:t>the implementation of epidemiological multi-database studies. We showed the effectiveness of CodeMapper’s approach by simulating an informed usage of the application.</w:t>
      </w:r>
    </w:p>
    <w:p w14:paraId="1DEE3770" w14:textId="4C1C1E4C" w:rsidR="00674B6B" w:rsidRDefault="00B10E7A">
      <w:r>
        <w:t xml:space="preserve">Creating a mapping only by the </w:t>
      </w:r>
      <w:r w:rsidR="00211F12">
        <w:t xml:space="preserve">automatic </w:t>
      </w:r>
      <w:r>
        <w:t>identification of medical concepts in the case definition was insufficient for reproducing the reference code sets (</w:t>
      </w:r>
      <w:r w:rsidR="00C64532">
        <w:t xml:space="preserve">sensitivity </w:t>
      </w:r>
      <w:r>
        <w:t>0.246). The mapping process cannot be replaced by a simple indexing step. However, the goal of CodeMapper is to support an informed user in creating such mappings, and CodeMapper’s operations for concept expansion provide an effective and efficient way for this. The reference code sets were regenerated with a sensitivity of 0.953 and PPV of 0.616 after only three expansion steps. The reference codes for ICPC</w:t>
      </w:r>
      <w:r w:rsidR="00561A85">
        <w:noBreakHyphen/>
      </w:r>
      <w:r>
        <w:t xml:space="preserve">2 were even </w:t>
      </w:r>
      <w:r w:rsidR="00B20A79">
        <w:t xml:space="preserve">completely </w:t>
      </w:r>
      <w:r>
        <w:t xml:space="preserve">regenerated after </w:t>
      </w:r>
      <w:r w:rsidR="00795549">
        <w:t xml:space="preserve">the first </w:t>
      </w:r>
      <w:r>
        <w:t>expansion step and the reference codes for ICD</w:t>
      </w:r>
      <w:r w:rsidR="00561A85">
        <w:noBreakHyphen/>
      </w:r>
      <w:r>
        <w:t>10 after</w:t>
      </w:r>
      <w:r w:rsidR="00550FCE">
        <w:t xml:space="preserve"> the second</w:t>
      </w:r>
      <w:r w:rsidR="00847E55">
        <w:t xml:space="preserve"> expansion step</w:t>
      </w:r>
      <w:r>
        <w:t>.</w:t>
      </w:r>
      <w:r w:rsidR="009238D4">
        <w:t xml:space="preserve"> The sensitivity was</w:t>
      </w:r>
      <w:r w:rsidR="00F612FC">
        <w:t xml:space="preserve"> </w:t>
      </w:r>
      <w:r w:rsidR="002B5DC2">
        <w:t>increasing</w:t>
      </w:r>
      <w:r w:rsidR="008B2741">
        <w:t xml:space="preserve"> between expansion steps </w:t>
      </w:r>
      <w:r w:rsidR="00F612FC">
        <w:t>because</w:t>
      </w:r>
      <w:r w:rsidR="00735E72">
        <w:t xml:space="preserve"> codes were always retained </w:t>
      </w:r>
      <w:r w:rsidR="000B4093">
        <w:t xml:space="preserve">in </w:t>
      </w:r>
      <w:r w:rsidR="008B2741">
        <w:t xml:space="preserve">subsequent </w:t>
      </w:r>
      <w:r w:rsidR="00735E72">
        <w:t>steps</w:t>
      </w:r>
      <w:r w:rsidR="00F612FC">
        <w:t>.</w:t>
      </w:r>
      <w:r w:rsidR="00264777">
        <w:t xml:space="preserve"> The sensitivity was lower for more granular vocabularies, </w:t>
      </w:r>
      <w:r w:rsidR="002B2AC8">
        <w:t xml:space="preserve">where </w:t>
      </w:r>
      <w:r w:rsidR="00264777">
        <w:t>more expansion steps were required.</w:t>
      </w:r>
      <w:r w:rsidR="00887A14">
        <w:t xml:space="preserve"> </w:t>
      </w:r>
      <w:r w:rsidR="00252D48">
        <w:t xml:space="preserve">The increase of sensitivity </w:t>
      </w:r>
      <w:r w:rsidR="003240BE">
        <w:t>came</w:t>
      </w:r>
      <w:r w:rsidR="00252D48">
        <w:t xml:space="preserve"> at the costs of a slight decrease in PPV</w:t>
      </w:r>
      <w:r w:rsidR="00D062DC">
        <w:t xml:space="preserve">, which is </w:t>
      </w:r>
      <w:r w:rsidR="00252D48">
        <w:t>a consequence of the introduction of false-positive codes that are siblings of newly added true-positive codes</w:t>
      </w:r>
      <w:r w:rsidR="008D168F">
        <w:t>.</w:t>
      </w:r>
    </w:p>
    <w:p w14:paraId="63D87063" w14:textId="63E318C6" w:rsidR="001858CE" w:rsidRDefault="00B10E7A" w:rsidP="006663CF">
      <w:pPr>
        <w:spacing w:before="100" w:after="100"/>
      </w:pPr>
      <w:r>
        <w:t xml:space="preserve">The performance of the mapping that simulates maximal sensitivity (0.991 with associated PPV of 0.733) forms an upper </w:t>
      </w:r>
      <w:r w:rsidR="007232B4">
        <w:t>bound</w:t>
      </w:r>
      <w:r>
        <w:t xml:space="preserve"> of CodeMapper’s </w:t>
      </w:r>
      <w:r w:rsidR="00750DEB">
        <w:t xml:space="preserve">performance in </w:t>
      </w:r>
      <w:r>
        <w:t xml:space="preserve">regenerating the reference code sets. The imperfect sensitivity is due to reference codes that are missing in the UMLS or </w:t>
      </w:r>
      <w:r w:rsidR="00636EFB">
        <w:t xml:space="preserve">in </w:t>
      </w:r>
      <w:r>
        <w:t>the mapping between R</w:t>
      </w:r>
      <w:r w:rsidR="006A40CF">
        <w:t>ead</w:t>
      </w:r>
      <w:r w:rsidR="00561A85">
        <w:noBreakHyphen/>
      </w:r>
      <w:r>
        <w:t>2 and CT</w:t>
      </w:r>
      <w:r w:rsidR="00933912">
        <w:t>v</w:t>
      </w:r>
      <w:r>
        <w:t xml:space="preserve">3. The moderate PPV may be due to inconsistencies in </w:t>
      </w:r>
      <w:r w:rsidR="009D3EA9">
        <w:t xml:space="preserve">the reference code sets or </w:t>
      </w:r>
      <w:r>
        <w:t xml:space="preserve">the </w:t>
      </w:r>
      <w:r w:rsidR="008D71ED">
        <w:t>Metathesaurus</w:t>
      </w:r>
      <w:r w:rsidR="00D62373">
        <w:t>.</w:t>
      </w:r>
      <w:r w:rsidR="001858CE">
        <w:t xml:space="preserve"> </w:t>
      </w:r>
      <w:r>
        <w:t xml:space="preserve">The reference code sets may be inconsistent between vocabularies for two reasons. First, the inclusion of one code in the reference mapping did not always imply the inclusion of all sibling codes in the targeted vocabularies, which is reflected by the large number of false positives with true-positive siblings. Second, different code sets were created for databases with the same vocabularies, which </w:t>
      </w:r>
      <w:r w:rsidR="008F3414">
        <w:t>can</w:t>
      </w:r>
      <w:r>
        <w:t xml:space="preserve"> be necessary to compensate for characteristics of the databases. For example, when an event is </w:t>
      </w:r>
      <w:r w:rsidR="00BF4EFF">
        <w:t xml:space="preserve">only available as inpatient diagnosis </w:t>
      </w:r>
      <w:r>
        <w:t xml:space="preserve">in one database, a drug that is usually prescribed in case of the event </w:t>
      </w:r>
      <w:r w:rsidR="00BF4EFF">
        <w:t xml:space="preserve">in outpatient setting </w:t>
      </w:r>
      <w:r>
        <w:t xml:space="preserve">can be included in the query as a </w:t>
      </w:r>
      <w:r w:rsidRPr="00EC607C">
        <w:t>proxy</w:t>
      </w:r>
      <w:r>
        <w:rPr>
          <w:i/>
        </w:rPr>
        <w:t>.</w:t>
      </w:r>
      <w:r>
        <w:t xml:space="preserve"> Such database-specific </w:t>
      </w:r>
      <w:r w:rsidR="00640870">
        <w:t xml:space="preserve">additions </w:t>
      </w:r>
      <w:r>
        <w:t>also explain some false-negative codes without</w:t>
      </w:r>
      <w:r w:rsidR="00CC624A">
        <w:t xml:space="preserve"> siblings in the reference set.</w:t>
      </w:r>
      <w:r w:rsidR="001858CE">
        <w:t xml:space="preserve"> </w:t>
      </w:r>
      <w:r w:rsidR="00D62373">
        <w:t xml:space="preserve">Inconsistencies in the </w:t>
      </w:r>
      <w:r w:rsidR="00E108F8">
        <w:lastRenderedPageBreak/>
        <w:t xml:space="preserve">Metathesaurus </w:t>
      </w:r>
      <w:r w:rsidR="00D62373">
        <w:t>such as missing identification of equivalent codes and incomplete coverage of vocabularies have been discussed before</w:t>
      </w:r>
      <w:r w:rsidR="00CB04DE">
        <w:t>.</w:t>
      </w:r>
      <w:r w:rsidR="00D62373">
        <w:fldChar w:fldCharType="begin"/>
      </w:r>
      <w:r w:rsidR="008E0E8D">
        <w:instrText xml:space="preserve"> ADDIN ZOTERO_ITEM CSL_CITATION {"citationID":"GzoS98ce","properties":{"formattedCitation":"{\\rtf \\super 28\\uc0\\u8211{}31\\nosupersub{}}","plainCitation":"28–31"},"citationItems":[{"id":118,"uris":["http://zotero.org/users/2673476/items/U3ZFDWII"],"uri":["http://zotero.org/users/2673476/items/U3ZFDWII"],"itemData":{"id":118,"type":"article-journal","title":"Evaluation of the Unified Medical Language System as a medical knowledge source","container-title":"Journal of the American Medical Informatics Association","page":"76–87","volume":"5","issue":"1","author":[{"family":"Bodenreider","given":"Oliver"},{"family":"Burgun","given":"Anita"},{"family":"Botti","given":"Geneviève"},{"family":"Fieschi","given":"Marius"},{"family":"Le Beux","given":"Pierre"},{"family":"Kohler","given":"François"}],"issued":{"date-parts":[["1998"]]}}},{"id":57,"uris":["http://zotero.org/users/2673476/items/EFAXGUZ5"],"uri":["http://zotero.org/users/2673476/items/EFAXGUZ5"],"itemData":{"id":57,"type":"article-journal","title":"Consistency across the hierarchies of the UMLS Semantic Network and Metathesaurus","container-title":"Journal of biomedical informatics","page":"450–461","volume":"36","issue":"6","author":[{"family":"Cimino","given":"James J"},{"family":"Min","given":"Hua"},{"family":"Perl","given":"Yehoshua"}],"issued":{"date-parts":[["2003"]]}}},{"id":11,"uris":["http://zotero.org/users/2673476/items/3QD3VWAF"],"uri":["http://zotero.org/users/2673476/items/3QD3VWAF"],"itemData":{"id":11,"type":"article-journal","title":"Exploiting UMLS semantics for checking semantic consistency among UMLS concepts","container-title":"Studies in health technology and informatics","page":"749","volume":"160","issue":"0 1","author":[{"family":"Erdogan","given":"Halit"},{"family":"Erdem","given":"Esra"},{"family":"Bodenreider","given":"Olivier"}],"issued":{"date-parts":[["2010"]]}}},{"id":20,"uris":["http://zotero.org/users/2673476/items/54ARTP22"],"uri":["http://zotero.org/users/2673476/items/54ARTP22"],"itemData":{"id":20,"type":"article-journal","title":"Evaluation of alternative standardized terminologies for medical conditions within a network of observational healthcare databases","container-title":"Journal of biomedical informatics","page":"689–696","volume":"45","issue":"4","source":"Google Scholar","author":[{"family":"Reich","given":"Christian"},{"family":"Ryan","given":"Patrick B."},{"family":"Stang","given":"Paul E."},{"family":"Rocca","given":"Mitra"}],"issued":{"date-parts":[["2012"]]}}}],"schema":"https://github.com/citation-style-language/schema/raw/master/csl-citation.json"} </w:instrText>
      </w:r>
      <w:r w:rsidR="00D62373">
        <w:fldChar w:fldCharType="separate"/>
      </w:r>
      <w:r w:rsidR="008E0E8D" w:rsidRPr="008E0E8D">
        <w:rPr>
          <w:rFonts w:ascii="Calibri" w:hAnsi="Calibri"/>
          <w:szCs w:val="24"/>
          <w:vertAlign w:val="superscript"/>
        </w:rPr>
        <w:t>28–31</w:t>
      </w:r>
      <w:r w:rsidR="00D62373">
        <w:fldChar w:fldCharType="end"/>
      </w:r>
    </w:p>
    <w:p w14:paraId="753347B0" w14:textId="2BE7C1AE" w:rsidR="00A925AB" w:rsidRDefault="00D02D61" w:rsidP="00C566A9">
      <w:r>
        <w:t>The SAFEGUARD</w:t>
      </w:r>
      <w:r w:rsidR="00A925AB" w:rsidRPr="00A925AB">
        <w:t xml:space="preserve"> reference set contained only codes for diagnoses but no codes for laboratory, imaging or ECG results. CodeMapper’s operations for concept expansion would not be suitable for generating such codes for </w:t>
      </w:r>
      <w:r w:rsidR="005062C5">
        <w:t>diagnostic tests</w:t>
      </w:r>
      <w:r w:rsidR="00A925AB" w:rsidRPr="00A925AB">
        <w:t xml:space="preserve"> because the corresponding concepts are not hierarchical</w:t>
      </w:r>
      <w:r w:rsidR="00A2035A">
        <w:t>ly</w:t>
      </w:r>
      <w:r w:rsidR="00A925AB" w:rsidRPr="00A925AB">
        <w:t xml:space="preserve"> related to </w:t>
      </w:r>
      <w:r w:rsidR="00971FF6">
        <w:t xml:space="preserve">the </w:t>
      </w:r>
      <w:r w:rsidR="00A925AB" w:rsidRPr="00A925AB">
        <w:t xml:space="preserve">concepts </w:t>
      </w:r>
      <w:r w:rsidR="00971FF6">
        <w:t xml:space="preserve">for the diagnoses </w:t>
      </w:r>
      <w:r w:rsidR="00A925AB" w:rsidRPr="00A925AB">
        <w:t xml:space="preserve">given in the case definition. However, these result codes can be generated using CodeMapper’s approach if the concepts for </w:t>
      </w:r>
      <w:r w:rsidR="00A2035A">
        <w:t>diagnostic tests</w:t>
      </w:r>
      <w:r w:rsidR="00571ABE">
        <w:t xml:space="preserve"> </w:t>
      </w:r>
      <w:r w:rsidR="00A925AB" w:rsidRPr="00A925AB">
        <w:t>are mentioned in the case definition</w:t>
      </w:r>
      <w:r w:rsidR="001762DE">
        <w:t>.</w:t>
      </w:r>
    </w:p>
    <w:p w14:paraId="3F169624" w14:textId="4B522B70" w:rsidR="00EA3275" w:rsidRDefault="00DA71F8" w:rsidP="00C566A9">
      <w:r>
        <w:t xml:space="preserve">When exclusion criteria are indicated in the case definition, CodeMapper’s approach can be applied to map them to codes, but </w:t>
      </w:r>
      <w:r w:rsidR="00161EE2">
        <w:t xml:space="preserve">they </w:t>
      </w:r>
      <w:r>
        <w:t xml:space="preserve">must then manually be marked </w:t>
      </w:r>
      <w:r w:rsidR="00837E16">
        <w:t xml:space="preserve">for </w:t>
      </w:r>
      <w:r>
        <w:t>exclusion to inform the data extraction process</w:t>
      </w:r>
      <w:r w:rsidR="00EA3275" w:rsidRPr="00F278B2">
        <w:t>.</w:t>
      </w:r>
      <w:r w:rsidR="00EA3275">
        <w:t xml:space="preserve"> Automatic negation extraction</w:t>
      </w:r>
      <w:r w:rsidR="00EA3275">
        <w:fldChar w:fldCharType="begin"/>
      </w:r>
      <w:r w:rsidR="008E0E8D">
        <w:instrText xml:space="preserve"> ADDIN ZOTERO_ITEM CSL_CITATION {"citationID":"b6v4hr5r5","properties":{"formattedCitation":"{\\rtf \\super 32\\nosupersub{}}","plainCitation":"32"},"citationItems":[{"id":386,"uris":["http://zotero.org/users/2673476/items/9273M6XS"],"uri":["http://zotero.org/users/2673476/items/9273M6XS"],"itemData":{"id":386,"type":"article-journal","title":"ConText: an algorithm for determining negation, experiencer, and temporal status from clinical reports","container-title":"Journal of biomedical informatics","page":"839–851","volume":"42","issue":"5","source":"Google Scholar","shortTitle":"ConText","author":[{"family":"Harkema","given":"Henk"},{"family":"Dowling","given":"John N."},{"family":"Thornblade","given":"Tyler"},{"family":"Chapman","given":"Wendy W."}],"issued":{"date-parts":[["2009"]]}}}],"schema":"https://github.com/citation-style-language/schema/raw/master/csl-citation.json"} </w:instrText>
      </w:r>
      <w:r w:rsidR="00EA3275">
        <w:fldChar w:fldCharType="separate"/>
      </w:r>
      <w:r w:rsidR="008E0E8D" w:rsidRPr="008E0E8D">
        <w:rPr>
          <w:rFonts w:ascii="Calibri" w:hAnsi="Calibri"/>
          <w:szCs w:val="24"/>
          <w:vertAlign w:val="superscript"/>
        </w:rPr>
        <w:t>32</w:t>
      </w:r>
      <w:r w:rsidR="00EA3275">
        <w:fldChar w:fldCharType="end"/>
      </w:r>
      <w:r w:rsidR="00EA3275">
        <w:t xml:space="preserve"> could be used to automate the identification of exclusion criteria in the case definition.</w:t>
      </w:r>
    </w:p>
    <w:p w14:paraId="1AC6B43F" w14:textId="1EA94720" w:rsidR="005D5909" w:rsidRDefault="0077282B" w:rsidP="005D5909">
      <w:r>
        <w:t xml:space="preserve">The use of the Metathesaurus </w:t>
      </w:r>
      <w:r w:rsidR="001858CE">
        <w:t>in CodeMapper</w:t>
      </w:r>
      <w:r w:rsidR="00ED27A2">
        <w:t>’s approach</w:t>
      </w:r>
      <w:r w:rsidR="001858CE">
        <w:t xml:space="preserve"> </w:t>
      </w:r>
      <w:r>
        <w:t>brings practical limitations with it.</w:t>
      </w:r>
      <w:r w:rsidR="00B10E7A">
        <w:t xml:space="preserve"> </w:t>
      </w:r>
      <w:r w:rsidR="0057752D">
        <w:t xml:space="preserve">Differences in granularity between vocabularies can </w:t>
      </w:r>
      <w:r w:rsidR="000C3D23">
        <w:t>affect the consistency of</w:t>
      </w:r>
      <w:r w:rsidR="0057752D">
        <w:t xml:space="preserve"> </w:t>
      </w:r>
      <w:r w:rsidR="00AD57A3">
        <w:t>the generated</w:t>
      </w:r>
      <w:r w:rsidR="0057752D">
        <w:t xml:space="preserve"> code sets.</w:t>
      </w:r>
      <w:r w:rsidR="00611A82">
        <w:t xml:space="preserve"> </w:t>
      </w:r>
      <w:r w:rsidR="00E25ED7">
        <w:t>This problem could</w:t>
      </w:r>
      <w:r w:rsidR="00611A82">
        <w:t xml:space="preserve"> be identified by incorporating information about code usage in EHR database</w:t>
      </w:r>
      <w:r w:rsidR="00A002F7">
        <w:t>s</w:t>
      </w:r>
      <w:r w:rsidR="00611A82">
        <w:t xml:space="preserve"> into CodeMapper</w:t>
      </w:r>
      <w:r w:rsidR="0057752D">
        <w:t xml:space="preserve">. </w:t>
      </w:r>
      <w:r w:rsidR="00B10E7A">
        <w:t xml:space="preserve">Vocabularies that are not part of the UMLS can only be targeted </w:t>
      </w:r>
      <w:r w:rsidR="00807E6B">
        <w:t>with</w:t>
      </w:r>
      <w:r w:rsidR="00B10E7A">
        <w:t xml:space="preserve"> CodeMapper by integrating additional mapping tables. </w:t>
      </w:r>
      <w:r w:rsidR="00697848">
        <w:t xml:space="preserve">And database-specific code sets cannot be maintained easily because </w:t>
      </w:r>
      <w:r w:rsidR="00F451C2">
        <w:t xml:space="preserve">code sets </w:t>
      </w:r>
      <w:r w:rsidR="00113D65">
        <w:t xml:space="preserve">are generated </w:t>
      </w:r>
      <w:r w:rsidR="00F451C2">
        <w:t>per vocabulary.</w:t>
      </w:r>
    </w:p>
    <w:p w14:paraId="103F6A6A" w14:textId="74D50EBC" w:rsidR="00936385" w:rsidRDefault="00A074FC">
      <w:r w:rsidRPr="00A074FC">
        <w:t xml:space="preserve">CodeMapper has been </w:t>
      </w:r>
      <w:r w:rsidR="00590112">
        <w:t>applied</w:t>
      </w:r>
      <w:r w:rsidR="00365C31">
        <w:t xml:space="preserve"> to</w:t>
      </w:r>
      <w:r w:rsidR="00F75751">
        <w:t xml:space="preserve"> the mapping of 4</w:t>
      </w:r>
      <w:r w:rsidRPr="00A074FC">
        <w:t>5 events in the ADVANCE project</w:t>
      </w:r>
      <w:r w:rsidR="0004395D">
        <w:t xml:space="preserve"> so far</w:t>
      </w:r>
      <w:r w:rsidRPr="00A074FC">
        <w:t>. The automatic concept identification and revision operations allowed a quick drafting</w:t>
      </w:r>
      <w:r w:rsidR="00692619">
        <w:t xml:space="preserve"> and interactive exploration</w:t>
      </w:r>
      <w:r w:rsidRPr="00A074FC">
        <w:t xml:space="preserve"> of </w:t>
      </w:r>
      <w:r w:rsidR="00F22FC1">
        <w:t xml:space="preserve">the </w:t>
      </w:r>
      <w:r w:rsidR="00B92408">
        <w:t xml:space="preserve">code sets, </w:t>
      </w:r>
      <w:r w:rsidR="00BF3280">
        <w:t xml:space="preserve">without requiring </w:t>
      </w:r>
      <w:r w:rsidR="00F864C6">
        <w:t xml:space="preserve">extensive </w:t>
      </w:r>
      <w:r w:rsidRPr="00A074FC">
        <w:t>knowledge of each targeted vocabul</w:t>
      </w:r>
      <w:r w:rsidR="00F75237">
        <w:t xml:space="preserve">ary. </w:t>
      </w:r>
      <w:r w:rsidR="004F7820">
        <w:t>Feedback from medical experts</w:t>
      </w:r>
      <w:r w:rsidR="00BF3280">
        <w:t xml:space="preserve"> and</w:t>
      </w:r>
      <w:r w:rsidR="004F7820">
        <w:t xml:space="preserve"> database custodians</w:t>
      </w:r>
      <w:r w:rsidR="00BF3280">
        <w:t>,</w:t>
      </w:r>
      <w:r w:rsidR="004F7820">
        <w:t xml:space="preserve"> and harmonization between databases </w:t>
      </w:r>
      <w:r w:rsidR="006A4813">
        <w:t>were</w:t>
      </w:r>
      <w:r w:rsidR="004F7820">
        <w:t xml:space="preserve"> crucial to identify missing codes and concepts</w:t>
      </w:r>
      <w:r w:rsidR="00142BFE">
        <w:t>,</w:t>
      </w:r>
      <w:r w:rsidR="00CE34CD">
        <w:t xml:space="preserve"> </w:t>
      </w:r>
      <w:r w:rsidR="00142BFE">
        <w:t xml:space="preserve">and </w:t>
      </w:r>
      <w:r w:rsidR="00CF6E0A">
        <w:t xml:space="preserve">was collected in CodeMapper </w:t>
      </w:r>
      <w:r w:rsidR="00CE34CD">
        <w:t>for</w:t>
      </w:r>
      <w:r w:rsidRPr="00A074FC">
        <w:t xml:space="preserve"> subsequent revision</w:t>
      </w:r>
      <w:r w:rsidR="00CE34CD">
        <w:t xml:space="preserve"> of the mappings</w:t>
      </w:r>
      <w:r w:rsidRPr="00A074FC">
        <w:t xml:space="preserve">. </w:t>
      </w:r>
      <w:r w:rsidR="006A4813">
        <w:t xml:space="preserve">Together with the </w:t>
      </w:r>
      <w:r w:rsidR="00D60B59">
        <w:t xml:space="preserve">detailed </w:t>
      </w:r>
      <w:r w:rsidR="006A4813">
        <w:t>history of all steps that resulted in the mapping,</w:t>
      </w:r>
      <w:r w:rsidR="00CF6E0A">
        <w:t xml:space="preserve"> CodeMapper</w:t>
      </w:r>
      <w:r w:rsidR="000664DB">
        <w:t xml:space="preserve"> facilitated</w:t>
      </w:r>
      <w:r w:rsidR="000C31FA" w:rsidRPr="000C31FA">
        <w:t xml:space="preserve"> </w:t>
      </w:r>
      <w:r w:rsidR="00D841D5">
        <w:t>an</w:t>
      </w:r>
      <w:r w:rsidR="000664DB">
        <w:t xml:space="preserve"> </w:t>
      </w:r>
      <w:r w:rsidR="007B7D18">
        <w:t xml:space="preserve">integrated and </w:t>
      </w:r>
      <w:r w:rsidR="000664DB">
        <w:t>transparent</w:t>
      </w:r>
      <w:r w:rsidR="00E57D61">
        <w:t xml:space="preserve"> </w:t>
      </w:r>
      <w:r w:rsidR="000664DB">
        <w:t xml:space="preserve">management </w:t>
      </w:r>
      <w:r w:rsidR="002D4BDE">
        <w:t xml:space="preserve">of </w:t>
      </w:r>
      <w:r w:rsidR="004B1403">
        <w:t>the</w:t>
      </w:r>
      <w:r w:rsidR="00CF6E0A">
        <w:t xml:space="preserve"> overall mapping process.</w:t>
      </w:r>
      <w:r w:rsidR="00551D6E">
        <w:t xml:space="preserve"> </w:t>
      </w:r>
    </w:p>
    <w:p w14:paraId="6CD3194A" w14:textId="60C8E842" w:rsidR="008D231B" w:rsidRDefault="006D3F46">
      <w:r>
        <w:lastRenderedPageBreak/>
        <w:t>In conclusion, t</w:t>
      </w:r>
      <w:r w:rsidR="008D231B" w:rsidRPr="008D231B">
        <w:t>he CodeMapper web application constitutes a single entry point for the different phases of the terminology mapping process for multi-database studies. The expansion operations provide a more efficient and systematic way to add relevant related codes to the mapping</w:t>
      </w:r>
      <w:r w:rsidR="00E10D9F">
        <w:t xml:space="preserve"> </w:t>
      </w:r>
      <w:r w:rsidR="00E10D9F" w:rsidRPr="008D231B">
        <w:t>than browsing the source vocabularies</w:t>
      </w:r>
      <w:r w:rsidR="008D231B" w:rsidRPr="008D231B">
        <w:t>. The integration of the mapping process into a single application, and the recording of user operations make the mapping process traceable and the mappings more suitable for reuse in subsequent studies.</w:t>
      </w:r>
    </w:p>
    <w:p w14:paraId="5A717F38" w14:textId="77777777" w:rsidR="00674B6B" w:rsidRDefault="00B10E7A">
      <w:pPr>
        <w:pStyle w:val="Heading5"/>
      </w:pPr>
      <w:r>
        <w:t>Acknowledgement</w:t>
      </w:r>
    </w:p>
    <w:p w14:paraId="4F2A7291" w14:textId="77777777" w:rsidR="00674B6B" w:rsidRDefault="00B10E7A">
      <w:r>
        <w:t xml:space="preserve">We would like to thank </w:t>
      </w:r>
      <w:r w:rsidR="003B7D4E">
        <w:t xml:space="preserve">all </w:t>
      </w:r>
      <w:r>
        <w:t>investigators of the SAFEGUARD consortium for the code sets. The CodeMapper application was developed in the ADVANCE project, which received support from the Innovative Medicines Initiative Joint Undertaking under ADVANCE grant agreement №</w:t>
      </w:r>
      <w:r w:rsidR="00500C2E">
        <w:t> </w:t>
      </w:r>
      <w:r>
        <w:t>115557,</w:t>
      </w:r>
      <w:r w:rsidR="00CF3B06">
        <w:t xml:space="preserve"> with</w:t>
      </w:r>
      <w:r>
        <w:t xml:space="preserve"> financial contribution from the European Union's Seventh Framework Programme (FP7/2007-2013) and EFPIA companies in kind contribution.</w:t>
      </w:r>
    </w:p>
    <w:p w14:paraId="2A79FBBE" w14:textId="77777777" w:rsidR="00674B6B" w:rsidRPr="008F26D7" w:rsidRDefault="00D46A50">
      <w:pPr>
        <w:pStyle w:val="Heading1"/>
      </w:pPr>
      <w:r w:rsidRPr="008F26D7">
        <w:t>References</w:t>
      </w:r>
    </w:p>
    <w:p w14:paraId="18B5B0D9" w14:textId="77777777" w:rsidR="008E0E8D" w:rsidRPr="008E0E8D" w:rsidRDefault="00D46A50" w:rsidP="008E0E8D">
      <w:pPr>
        <w:pStyle w:val="Bibliography"/>
        <w:rPr>
          <w:rFonts w:ascii="Calibri" w:hAnsi="Calibri"/>
        </w:rPr>
      </w:pPr>
      <w:r>
        <w:fldChar w:fldCharType="begin"/>
      </w:r>
      <w:r w:rsidR="008E0E8D">
        <w:instrText xml:space="preserve"> ADDIN ZOTERO_BIBL {"custom":[]} CSL_BIBLIOGRAPHY </w:instrText>
      </w:r>
      <w:r>
        <w:fldChar w:fldCharType="separate"/>
      </w:r>
      <w:r w:rsidR="008E0E8D" w:rsidRPr="008E0E8D">
        <w:rPr>
          <w:rFonts w:ascii="Calibri" w:hAnsi="Calibri"/>
        </w:rPr>
        <w:t xml:space="preserve">1. </w:t>
      </w:r>
      <w:r w:rsidR="008E0E8D" w:rsidRPr="008E0E8D">
        <w:rPr>
          <w:rFonts w:ascii="Calibri" w:hAnsi="Calibri"/>
        </w:rPr>
        <w:tab/>
        <w:t xml:space="preserve">Trifirò G, Coloma P, Rijnbeek P, </w:t>
      </w:r>
      <w:r w:rsidR="008E0E8D" w:rsidRPr="008E0E8D">
        <w:rPr>
          <w:rFonts w:ascii="Calibri" w:hAnsi="Calibri"/>
          <w:i/>
          <w:iCs/>
        </w:rPr>
        <w:t>et al.</w:t>
      </w:r>
      <w:r w:rsidR="008E0E8D" w:rsidRPr="008E0E8D">
        <w:rPr>
          <w:rFonts w:ascii="Calibri" w:hAnsi="Calibri"/>
        </w:rPr>
        <w:t xml:space="preserve"> Combining multiple healthcare databases for postmarketing drug and vaccine safety surveillance: Why and how? </w:t>
      </w:r>
      <w:r w:rsidR="008E0E8D" w:rsidRPr="008E0E8D">
        <w:rPr>
          <w:rFonts w:ascii="Calibri" w:hAnsi="Calibri"/>
          <w:i/>
          <w:iCs/>
        </w:rPr>
        <w:t>J Intern Med</w:t>
      </w:r>
      <w:r w:rsidR="008E0E8D" w:rsidRPr="008E0E8D">
        <w:rPr>
          <w:rFonts w:ascii="Calibri" w:hAnsi="Calibri"/>
        </w:rPr>
        <w:t xml:space="preserve"> 2014; </w:t>
      </w:r>
      <w:r w:rsidR="008E0E8D" w:rsidRPr="008E0E8D">
        <w:rPr>
          <w:rFonts w:ascii="Calibri" w:hAnsi="Calibri"/>
          <w:b/>
          <w:bCs/>
        </w:rPr>
        <w:t>275</w:t>
      </w:r>
      <w:r w:rsidR="008E0E8D" w:rsidRPr="008E0E8D">
        <w:rPr>
          <w:rFonts w:ascii="Calibri" w:hAnsi="Calibri"/>
        </w:rPr>
        <w:t>: 551–561.</w:t>
      </w:r>
    </w:p>
    <w:p w14:paraId="0D4E2251" w14:textId="77777777" w:rsidR="008E0E8D" w:rsidRPr="008E0E8D" w:rsidRDefault="008E0E8D" w:rsidP="008E0E8D">
      <w:pPr>
        <w:pStyle w:val="Bibliography"/>
        <w:rPr>
          <w:rFonts w:ascii="Calibri" w:hAnsi="Calibri"/>
        </w:rPr>
      </w:pPr>
      <w:r w:rsidRPr="008E0E8D">
        <w:rPr>
          <w:rFonts w:ascii="Calibri" w:hAnsi="Calibri"/>
        </w:rPr>
        <w:t xml:space="preserve">2. </w:t>
      </w:r>
      <w:r w:rsidRPr="008E0E8D">
        <w:rPr>
          <w:rFonts w:ascii="Calibri" w:hAnsi="Calibri"/>
        </w:rPr>
        <w:tab/>
        <w:t xml:space="preserve">de Lusignan S, Minmagh C, Kennedy J, Zeimet M, Bommezijn H, Bryant J. A survey to identify the clinical coding and classification systems currently in use across Europe. </w:t>
      </w:r>
      <w:r w:rsidRPr="008E0E8D">
        <w:rPr>
          <w:rFonts w:ascii="Calibri" w:hAnsi="Calibri"/>
          <w:i/>
          <w:iCs/>
        </w:rPr>
        <w:t>Stud Health Technol Inform</w:t>
      </w:r>
      <w:r w:rsidRPr="008E0E8D">
        <w:rPr>
          <w:rFonts w:ascii="Calibri" w:hAnsi="Calibri"/>
        </w:rPr>
        <w:t xml:space="preserve"> 2001: 86–89.</w:t>
      </w:r>
    </w:p>
    <w:p w14:paraId="09873AB9" w14:textId="77777777" w:rsidR="008E0E8D" w:rsidRPr="008E0E8D" w:rsidRDefault="008E0E8D" w:rsidP="008E0E8D">
      <w:pPr>
        <w:pStyle w:val="Bibliography"/>
        <w:rPr>
          <w:rFonts w:ascii="Calibri" w:hAnsi="Calibri"/>
        </w:rPr>
      </w:pPr>
      <w:r w:rsidRPr="008E0E8D">
        <w:rPr>
          <w:rFonts w:ascii="Calibri" w:hAnsi="Calibri"/>
        </w:rPr>
        <w:t xml:space="preserve">3. </w:t>
      </w:r>
      <w:r w:rsidRPr="008E0E8D">
        <w:rPr>
          <w:rFonts w:ascii="Calibri" w:hAnsi="Calibri"/>
        </w:rPr>
        <w:tab/>
        <w:t xml:space="preserve">de Lusignan S. Codes, classifications, terminologies and nomenclatures: definition, development and application in practice. </w:t>
      </w:r>
      <w:r w:rsidRPr="008E0E8D">
        <w:rPr>
          <w:rFonts w:ascii="Calibri" w:hAnsi="Calibri"/>
          <w:i/>
          <w:iCs/>
        </w:rPr>
        <w:t>J Innov Health Inform</w:t>
      </w:r>
      <w:r w:rsidRPr="008E0E8D">
        <w:rPr>
          <w:rFonts w:ascii="Calibri" w:hAnsi="Calibri"/>
        </w:rPr>
        <w:t xml:space="preserve"> 2005; </w:t>
      </w:r>
      <w:r w:rsidRPr="008E0E8D">
        <w:rPr>
          <w:rFonts w:ascii="Calibri" w:hAnsi="Calibri"/>
          <w:b/>
          <w:bCs/>
        </w:rPr>
        <w:t>13</w:t>
      </w:r>
      <w:r w:rsidRPr="008E0E8D">
        <w:rPr>
          <w:rFonts w:ascii="Calibri" w:hAnsi="Calibri"/>
        </w:rPr>
        <w:t>: 65–69.</w:t>
      </w:r>
    </w:p>
    <w:p w14:paraId="23E46EA6" w14:textId="77777777" w:rsidR="008E0E8D" w:rsidRPr="008E0E8D" w:rsidRDefault="008E0E8D" w:rsidP="008E0E8D">
      <w:pPr>
        <w:pStyle w:val="Bibliography"/>
        <w:rPr>
          <w:rFonts w:ascii="Calibri" w:hAnsi="Calibri"/>
        </w:rPr>
      </w:pPr>
      <w:r w:rsidRPr="008E0E8D">
        <w:rPr>
          <w:rFonts w:ascii="Calibri" w:hAnsi="Calibri"/>
        </w:rPr>
        <w:t xml:space="preserve">4. </w:t>
      </w:r>
      <w:r w:rsidRPr="008E0E8D">
        <w:rPr>
          <w:rFonts w:ascii="Calibri" w:hAnsi="Calibri"/>
        </w:rPr>
        <w:tab/>
        <w:t xml:space="preserve">US Department of Health and Human Services and others. </w:t>
      </w:r>
      <w:r w:rsidRPr="008E0E8D">
        <w:rPr>
          <w:rFonts w:ascii="Calibri" w:hAnsi="Calibri"/>
          <w:i/>
          <w:iCs/>
        </w:rPr>
        <w:t>ICD 9 CM. The International Classification of Diseases. 9. Rev: Clinical Modification.; Vol. 1: Diseases: Tabular List. ; Vol. 2: Diseases: Alphabetic Index. ; Vol. 3: Procedures: Tabular List and Alphabetic Index.</w:t>
      </w:r>
      <w:r w:rsidRPr="008E0E8D">
        <w:rPr>
          <w:rFonts w:ascii="Calibri" w:hAnsi="Calibri"/>
        </w:rPr>
        <w:t xml:space="preserve"> US Government Printing Office, 1980.</w:t>
      </w:r>
    </w:p>
    <w:p w14:paraId="0D75ACED" w14:textId="77777777" w:rsidR="008E0E8D" w:rsidRPr="008E0E8D" w:rsidRDefault="008E0E8D" w:rsidP="008E0E8D">
      <w:pPr>
        <w:pStyle w:val="Bibliography"/>
        <w:rPr>
          <w:rFonts w:ascii="Calibri" w:hAnsi="Calibri"/>
        </w:rPr>
      </w:pPr>
      <w:r w:rsidRPr="008E0E8D">
        <w:rPr>
          <w:rFonts w:ascii="Calibri" w:hAnsi="Calibri"/>
        </w:rPr>
        <w:t xml:space="preserve">5. </w:t>
      </w:r>
      <w:r w:rsidRPr="008E0E8D">
        <w:rPr>
          <w:rFonts w:ascii="Calibri" w:hAnsi="Calibri"/>
        </w:rPr>
        <w:tab/>
        <w:t xml:space="preserve">Pavillon G, Maguin P. The 10th revision of the International Classification of Diseases. </w:t>
      </w:r>
      <w:r w:rsidRPr="008E0E8D">
        <w:rPr>
          <w:rFonts w:ascii="Calibri" w:hAnsi="Calibri"/>
          <w:i/>
          <w:iCs/>
        </w:rPr>
        <w:t>Rev Epidemiol Sante Publique</w:t>
      </w:r>
      <w:r w:rsidRPr="008E0E8D">
        <w:rPr>
          <w:rFonts w:ascii="Calibri" w:hAnsi="Calibri"/>
        </w:rPr>
        <w:t xml:space="preserve"> 1992; </w:t>
      </w:r>
      <w:r w:rsidRPr="008E0E8D">
        <w:rPr>
          <w:rFonts w:ascii="Calibri" w:hAnsi="Calibri"/>
          <w:b/>
          <w:bCs/>
        </w:rPr>
        <w:t>41</w:t>
      </w:r>
      <w:r w:rsidRPr="008E0E8D">
        <w:rPr>
          <w:rFonts w:ascii="Calibri" w:hAnsi="Calibri"/>
        </w:rPr>
        <w:t>: 253–255.</w:t>
      </w:r>
    </w:p>
    <w:p w14:paraId="7677B2AC" w14:textId="77777777" w:rsidR="008E0E8D" w:rsidRPr="008E0E8D" w:rsidRDefault="008E0E8D" w:rsidP="008E0E8D">
      <w:pPr>
        <w:pStyle w:val="Bibliography"/>
        <w:rPr>
          <w:rFonts w:ascii="Calibri" w:hAnsi="Calibri"/>
        </w:rPr>
      </w:pPr>
      <w:r w:rsidRPr="008E0E8D">
        <w:rPr>
          <w:rFonts w:ascii="Calibri" w:hAnsi="Calibri"/>
        </w:rPr>
        <w:t xml:space="preserve">6. </w:t>
      </w:r>
      <w:r w:rsidRPr="008E0E8D">
        <w:rPr>
          <w:rFonts w:ascii="Calibri" w:hAnsi="Calibri"/>
        </w:rPr>
        <w:tab/>
        <w:t>Lamberts H, Okkes I, others. ICPC-2, International Classification of Primary Care. 1998.</w:t>
      </w:r>
    </w:p>
    <w:p w14:paraId="690E61A0" w14:textId="77777777" w:rsidR="008E0E8D" w:rsidRPr="008E0E8D" w:rsidRDefault="008E0E8D" w:rsidP="008E0E8D">
      <w:pPr>
        <w:pStyle w:val="Bibliography"/>
        <w:rPr>
          <w:rFonts w:ascii="Calibri" w:hAnsi="Calibri"/>
        </w:rPr>
      </w:pPr>
      <w:r w:rsidRPr="008E0E8D">
        <w:rPr>
          <w:rFonts w:ascii="Calibri" w:hAnsi="Calibri"/>
        </w:rPr>
        <w:lastRenderedPageBreak/>
        <w:t xml:space="preserve">7. </w:t>
      </w:r>
      <w:r w:rsidRPr="008E0E8D">
        <w:rPr>
          <w:rFonts w:ascii="Calibri" w:hAnsi="Calibri"/>
        </w:rPr>
        <w:tab/>
        <w:t xml:space="preserve">Read JD, Sanderson HF, Sutton YM. Terming, Encoding, Grouping, The Language of Health. In: </w:t>
      </w:r>
      <w:r w:rsidRPr="008E0E8D">
        <w:rPr>
          <w:rFonts w:ascii="Calibri" w:hAnsi="Calibri"/>
          <w:i/>
          <w:iCs/>
        </w:rPr>
        <w:t>Proceedings International Medical Information Association’s 8th World Congress on Medical Informatics. Vancouver</w:t>
      </w:r>
      <w:r w:rsidRPr="008E0E8D">
        <w:rPr>
          <w:rFonts w:ascii="Calibri" w:hAnsi="Calibri"/>
        </w:rPr>
        <w:t>., 1995.</w:t>
      </w:r>
    </w:p>
    <w:p w14:paraId="67C41B9A" w14:textId="77777777" w:rsidR="008E0E8D" w:rsidRPr="008E0E8D" w:rsidRDefault="008E0E8D" w:rsidP="008E0E8D">
      <w:pPr>
        <w:pStyle w:val="Bibliography"/>
        <w:rPr>
          <w:rFonts w:ascii="Calibri" w:hAnsi="Calibri"/>
        </w:rPr>
      </w:pPr>
      <w:r w:rsidRPr="008E0E8D">
        <w:rPr>
          <w:rFonts w:ascii="Calibri" w:hAnsi="Calibri"/>
        </w:rPr>
        <w:t xml:space="preserve">8. </w:t>
      </w:r>
      <w:r w:rsidRPr="008E0E8D">
        <w:rPr>
          <w:rFonts w:ascii="Calibri" w:hAnsi="Calibri"/>
        </w:rPr>
        <w:tab/>
        <w:t xml:space="preserve">O’Neil M, Payne C, Read J. Read Codes Version 3: a user led terminology. </w:t>
      </w:r>
      <w:r w:rsidRPr="008E0E8D">
        <w:rPr>
          <w:rFonts w:ascii="Calibri" w:hAnsi="Calibri"/>
          <w:i/>
          <w:iCs/>
        </w:rPr>
        <w:t>Methods Inf Med</w:t>
      </w:r>
      <w:r w:rsidRPr="008E0E8D">
        <w:rPr>
          <w:rFonts w:ascii="Calibri" w:hAnsi="Calibri"/>
        </w:rPr>
        <w:t xml:space="preserve"> 1995; </w:t>
      </w:r>
      <w:r w:rsidRPr="008E0E8D">
        <w:rPr>
          <w:rFonts w:ascii="Calibri" w:hAnsi="Calibri"/>
          <w:b/>
          <w:bCs/>
        </w:rPr>
        <w:t>34</w:t>
      </w:r>
      <w:r w:rsidRPr="008E0E8D">
        <w:rPr>
          <w:rFonts w:ascii="Calibri" w:hAnsi="Calibri"/>
        </w:rPr>
        <w:t>: 187–192.</w:t>
      </w:r>
    </w:p>
    <w:p w14:paraId="6963D309" w14:textId="77777777" w:rsidR="008E0E8D" w:rsidRPr="008E0E8D" w:rsidRDefault="008E0E8D" w:rsidP="008E0E8D">
      <w:pPr>
        <w:pStyle w:val="Bibliography"/>
        <w:rPr>
          <w:rFonts w:ascii="Calibri" w:hAnsi="Calibri"/>
        </w:rPr>
      </w:pPr>
      <w:r w:rsidRPr="008E0E8D">
        <w:rPr>
          <w:rFonts w:ascii="Calibri" w:hAnsi="Calibri"/>
        </w:rPr>
        <w:t xml:space="preserve">9. </w:t>
      </w:r>
      <w:r w:rsidRPr="008E0E8D">
        <w:rPr>
          <w:rFonts w:ascii="Calibri" w:hAnsi="Calibri"/>
        </w:rPr>
        <w:tab/>
        <w:t xml:space="preserve">Gini R, Schuemie M, Brown J, </w:t>
      </w:r>
      <w:r w:rsidRPr="008E0E8D">
        <w:rPr>
          <w:rFonts w:ascii="Calibri" w:hAnsi="Calibri"/>
          <w:i/>
          <w:iCs/>
        </w:rPr>
        <w:t>et al.</w:t>
      </w:r>
      <w:r w:rsidRPr="008E0E8D">
        <w:rPr>
          <w:rFonts w:ascii="Calibri" w:hAnsi="Calibri"/>
        </w:rPr>
        <w:t xml:space="preserve"> Data Extraction and Management In Networks Of Observational Health Care Databases For Scientific Research: A Comparison Among EU-ADR, OMOP, Mini-Sentinel And MATRICE Strategies. </w:t>
      </w:r>
      <w:r w:rsidRPr="008E0E8D">
        <w:rPr>
          <w:rFonts w:ascii="Calibri" w:hAnsi="Calibri"/>
          <w:i/>
          <w:iCs/>
        </w:rPr>
        <w:t>EGEMs Gener Evid Methods Improve Patient Outcomes</w:t>
      </w:r>
      <w:r w:rsidRPr="008E0E8D">
        <w:rPr>
          <w:rFonts w:ascii="Calibri" w:hAnsi="Calibri"/>
        </w:rPr>
        <w:t xml:space="preserve"> 2016; </w:t>
      </w:r>
      <w:r w:rsidRPr="008E0E8D">
        <w:rPr>
          <w:rFonts w:ascii="Calibri" w:hAnsi="Calibri"/>
          <w:b/>
          <w:bCs/>
        </w:rPr>
        <w:t>4</w:t>
      </w:r>
      <w:r w:rsidRPr="008E0E8D">
        <w:rPr>
          <w:rFonts w:ascii="Calibri" w:hAnsi="Calibri"/>
        </w:rPr>
        <w:t>. doi:http://dx.doi.org/10.13063/2327-9214.1189.</w:t>
      </w:r>
    </w:p>
    <w:p w14:paraId="35A3F648" w14:textId="77777777" w:rsidR="008E0E8D" w:rsidRPr="008E0E8D" w:rsidRDefault="008E0E8D" w:rsidP="008E0E8D">
      <w:pPr>
        <w:pStyle w:val="Bibliography"/>
        <w:rPr>
          <w:rFonts w:ascii="Calibri" w:hAnsi="Calibri"/>
        </w:rPr>
      </w:pPr>
      <w:r w:rsidRPr="008E0E8D">
        <w:rPr>
          <w:rFonts w:ascii="Calibri" w:hAnsi="Calibri"/>
        </w:rPr>
        <w:t xml:space="preserve">10. </w:t>
      </w:r>
      <w:r w:rsidRPr="008E0E8D">
        <w:rPr>
          <w:rFonts w:ascii="Calibri" w:hAnsi="Calibri"/>
        </w:rPr>
        <w:tab/>
        <w:t xml:space="preserve">Avillach P, Joubert M, Thiessard F, </w:t>
      </w:r>
      <w:r w:rsidRPr="008E0E8D">
        <w:rPr>
          <w:rFonts w:ascii="Calibri" w:hAnsi="Calibri"/>
          <w:i/>
          <w:iCs/>
        </w:rPr>
        <w:t>et al.</w:t>
      </w:r>
      <w:r w:rsidRPr="008E0E8D">
        <w:rPr>
          <w:rFonts w:ascii="Calibri" w:hAnsi="Calibri"/>
        </w:rPr>
        <w:t xml:space="preserve"> Design and evaluation of a semantic approach for the homogeneous identification of events in eight patient databases: A contribution to the European EU-ADR project. </w:t>
      </w:r>
      <w:r w:rsidRPr="008E0E8D">
        <w:rPr>
          <w:rFonts w:ascii="Calibri" w:hAnsi="Calibri"/>
          <w:i/>
          <w:iCs/>
        </w:rPr>
        <w:t>Stud Health Technol Inform</w:t>
      </w:r>
      <w:r w:rsidRPr="008E0E8D">
        <w:rPr>
          <w:rFonts w:ascii="Calibri" w:hAnsi="Calibri"/>
        </w:rPr>
        <w:t xml:space="preserve"> 2009; </w:t>
      </w:r>
      <w:r w:rsidRPr="008E0E8D">
        <w:rPr>
          <w:rFonts w:ascii="Calibri" w:hAnsi="Calibri"/>
          <w:b/>
          <w:bCs/>
        </w:rPr>
        <w:t>160</w:t>
      </w:r>
      <w:r w:rsidRPr="008E0E8D">
        <w:rPr>
          <w:rFonts w:ascii="Calibri" w:hAnsi="Calibri"/>
        </w:rPr>
        <w:t>: 1085–1089.</w:t>
      </w:r>
    </w:p>
    <w:p w14:paraId="6E2C0537" w14:textId="77777777" w:rsidR="008E0E8D" w:rsidRPr="008E0E8D" w:rsidRDefault="008E0E8D" w:rsidP="008E0E8D">
      <w:pPr>
        <w:pStyle w:val="Bibliography"/>
        <w:rPr>
          <w:rFonts w:ascii="Calibri" w:hAnsi="Calibri"/>
        </w:rPr>
      </w:pPr>
      <w:r w:rsidRPr="008E0E8D">
        <w:rPr>
          <w:rFonts w:ascii="Calibri" w:hAnsi="Calibri"/>
        </w:rPr>
        <w:t xml:space="preserve">11. </w:t>
      </w:r>
      <w:r w:rsidRPr="008E0E8D">
        <w:rPr>
          <w:rFonts w:ascii="Calibri" w:hAnsi="Calibri"/>
        </w:rPr>
        <w:tab/>
        <w:t xml:space="preserve">Avillach P, Coloma PM, Gini R, </w:t>
      </w:r>
      <w:r w:rsidRPr="008E0E8D">
        <w:rPr>
          <w:rFonts w:ascii="Calibri" w:hAnsi="Calibri"/>
          <w:i/>
          <w:iCs/>
        </w:rPr>
        <w:t>et al.</w:t>
      </w:r>
      <w:r w:rsidRPr="008E0E8D">
        <w:rPr>
          <w:rFonts w:ascii="Calibri" w:hAnsi="Calibri"/>
        </w:rPr>
        <w:t xml:space="preserve"> Harmonization process for the identification of medical events in eight European healthcare databases: the experience from the EU-ADR project. </w:t>
      </w:r>
      <w:r w:rsidRPr="008E0E8D">
        <w:rPr>
          <w:rFonts w:ascii="Calibri" w:hAnsi="Calibri"/>
          <w:i/>
          <w:iCs/>
        </w:rPr>
        <w:t>J Am Med Inform Assoc</w:t>
      </w:r>
      <w:r w:rsidRPr="008E0E8D">
        <w:rPr>
          <w:rFonts w:ascii="Calibri" w:hAnsi="Calibri"/>
        </w:rPr>
        <w:t xml:space="preserve"> 2013; </w:t>
      </w:r>
      <w:r w:rsidRPr="008E0E8D">
        <w:rPr>
          <w:rFonts w:ascii="Calibri" w:hAnsi="Calibri"/>
          <w:b/>
          <w:bCs/>
        </w:rPr>
        <w:t>20</w:t>
      </w:r>
      <w:r w:rsidRPr="008E0E8D">
        <w:rPr>
          <w:rFonts w:ascii="Calibri" w:hAnsi="Calibri"/>
        </w:rPr>
        <w:t>: 184–192. doi:10.1136/amiajnl-2012-000933.</w:t>
      </w:r>
    </w:p>
    <w:p w14:paraId="29D0FFC0" w14:textId="77777777" w:rsidR="008E0E8D" w:rsidRPr="008E0E8D" w:rsidRDefault="008E0E8D" w:rsidP="008E0E8D">
      <w:pPr>
        <w:pStyle w:val="Bibliography"/>
        <w:rPr>
          <w:rFonts w:ascii="Calibri" w:hAnsi="Calibri"/>
        </w:rPr>
      </w:pPr>
      <w:r w:rsidRPr="008E0E8D">
        <w:rPr>
          <w:rFonts w:ascii="Calibri" w:hAnsi="Calibri"/>
        </w:rPr>
        <w:t xml:space="preserve">12. </w:t>
      </w:r>
      <w:r w:rsidRPr="008E0E8D">
        <w:rPr>
          <w:rFonts w:ascii="Calibri" w:hAnsi="Calibri"/>
        </w:rPr>
        <w:tab/>
        <w:t xml:space="preserve">Coloma PM, Schuemie MJ, Trifirò G, </w:t>
      </w:r>
      <w:r w:rsidRPr="008E0E8D">
        <w:rPr>
          <w:rFonts w:ascii="Calibri" w:hAnsi="Calibri"/>
          <w:i/>
          <w:iCs/>
        </w:rPr>
        <w:t>et al.</w:t>
      </w:r>
      <w:r w:rsidRPr="008E0E8D">
        <w:rPr>
          <w:rFonts w:ascii="Calibri" w:hAnsi="Calibri"/>
        </w:rPr>
        <w:t xml:space="preserve"> Combining electronic healthcare databases in Europe to allow for large-scale drug safety monitoring: the EU-ADR Project. </w:t>
      </w:r>
      <w:r w:rsidRPr="008E0E8D">
        <w:rPr>
          <w:rFonts w:ascii="Calibri" w:hAnsi="Calibri"/>
          <w:i/>
          <w:iCs/>
        </w:rPr>
        <w:t>Pharmacoepidemiol Drug Saf</w:t>
      </w:r>
      <w:r w:rsidRPr="008E0E8D">
        <w:rPr>
          <w:rFonts w:ascii="Calibri" w:hAnsi="Calibri"/>
        </w:rPr>
        <w:t xml:space="preserve"> 2011; </w:t>
      </w:r>
      <w:r w:rsidRPr="008E0E8D">
        <w:rPr>
          <w:rFonts w:ascii="Calibri" w:hAnsi="Calibri"/>
          <w:b/>
          <w:bCs/>
        </w:rPr>
        <w:t>20</w:t>
      </w:r>
      <w:r w:rsidRPr="008E0E8D">
        <w:rPr>
          <w:rFonts w:ascii="Calibri" w:hAnsi="Calibri"/>
        </w:rPr>
        <w:t>: 1–11. doi:10.1002/pds.2053.</w:t>
      </w:r>
    </w:p>
    <w:p w14:paraId="51F02A76" w14:textId="77777777" w:rsidR="008E0E8D" w:rsidRPr="008E0E8D" w:rsidRDefault="008E0E8D" w:rsidP="008E0E8D">
      <w:pPr>
        <w:pStyle w:val="Bibliography"/>
        <w:rPr>
          <w:rFonts w:ascii="Calibri" w:hAnsi="Calibri"/>
        </w:rPr>
      </w:pPr>
      <w:r w:rsidRPr="008E0E8D">
        <w:rPr>
          <w:rFonts w:ascii="Calibri" w:hAnsi="Calibri"/>
        </w:rPr>
        <w:t xml:space="preserve">13. </w:t>
      </w:r>
      <w:r w:rsidRPr="008E0E8D">
        <w:rPr>
          <w:rFonts w:ascii="Calibri" w:hAnsi="Calibri"/>
        </w:rPr>
        <w:tab/>
        <w:t xml:space="preserve">Aronson AR. Effective mapping of biomedical text to the UMLS Metathesaurus: the MetaMap program. In: </w:t>
      </w:r>
      <w:r w:rsidRPr="008E0E8D">
        <w:rPr>
          <w:rFonts w:ascii="Calibri" w:hAnsi="Calibri"/>
          <w:i/>
          <w:iCs/>
        </w:rPr>
        <w:t>Proceedings of the AMIA Symposium</w:t>
      </w:r>
      <w:r w:rsidRPr="008E0E8D">
        <w:rPr>
          <w:rFonts w:ascii="Calibri" w:hAnsi="Calibri"/>
        </w:rPr>
        <w:t>. American Medical Informatics Association, 2001; 17.</w:t>
      </w:r>
    </w:p>
    <w:p w14:paraId="0599D62D" w14:textId="77777777" w:rsidR="008E0E8D" w:rsidRPr="008E0E8D" w:rsidRDefault="008E0E8D" w:rsidP="008E0E8D">
      <w:pPr>
        <w:pStyle w:val="Bibliography"/>
        <w:rPr>
          <w:rFonts w:ascii="Calibri" w:hAnsi="Calibri"/>
        </w:rPr>
      </w:pPr>
      <w:r w:rsidRPr="008E0E8D">
        <w:rPr>
          <w:rFonts w:ascii="Calibri" w:hAnsi="Calibri"/>
        </w:rPr>
        <w:t xml:space="preserve">14. </w:t>
      </w:r>
      <w:r w:rsidRPr="008E0E8D">
        <w:rPr>
          <w:rFonts w:ascii="Calibri" w:hAnsi="Calibri"/>
        </w:rPr>
        <w:tab/>
        <w:t xml:space="preserve">Lindberg DA, Humphreys BL, McCray AT. The Unified Medical Language System. </w:t>
      </w:r>
      <w:r w:rsidRPr="008E0E8D">
        <w:rPr>
          <w:rFonts w:ascii="Calibri" w:hAnsi="Calibri"/>
          <w:i/>
          <w:iCs/>
        </w:rPr>
        <w:t>Methods Inf Med</w:t>
      </w:r>
      <w:r w:rsidRPr="008E0E8D">
        <w:rPr>
          <w:rFonts w:ascii="Calibri" w:hAnsi="Calibri"/>
        </w:rPr>
        <w:t xml:space="preserve"> 1993; </w:t>
      </w:r>
      <w:r w:rsidRPr="008E0E8D">
        <w:rPr>
          <w:rFonts w:ascii="Calibri" w:hAnsi="Calibri"/>
          <w:b/>
          <w:bCs/>
        </w:rPr>
        <w:t>32</w:t>
      </w:r>
      <w:r w:rsidRPr="008E0E8D">
        <w:rPr>
          <w:rFonts w:ascii="Calibri" w:hAnsi="Calibri"/>
        </w:rPr>
        <w:t>: 281–291.</w:t>
      </w:r>
    </w:p>
    <w:p w14:paraId="79BA1FA3" w14:textId="77777777" w:rsidR="008E0E8D" w:rsidRPr="008E0E8D" w:rsidRDefault="008E0E8D" w:rsidP="008E0E8D">
      <w:pPr>
        <w:pStyle w:val="Bibliography"/>
        <w:rPr>
          <w:rFonts w:ascii="Calibri" w:hAnsi="Calibri"/>
        </w:rPr>
      </w:pPr>
      <w:r w:rsidRPr="008E0E8D">
        <w:rPr>
          <w:rFonts w:ascii="Calibri" w:hAnsi="Calibri"/>
        </w:rPr>
        <w:t xml:space="preserve">15. </w:t>
      </w:r>
      <w:r w:rsidRPr="008E0E8D">
        <w:rPr>
          <w:rFonts w:ascii="Calibri" w:hAnsi="Calibri"/>
        </w:rPr>
        <w:tab/>
        <w:t xml:space="preserve">Curtis LH, Weiner MG, Boudreau DM, </w:t>
      </w:r>
      <w:r w:rsidRPr="008E0E8D">
        <w:rPr>
          <w:rFonts w:ascii="Calibri" w:hAnsi="Calibri"/>
          <w:i/>
          <w:iCs/>
        </w:rPr>
        <w:t>et al.</w:t>
      </w:r>
      <w:r w:rsidRPr="008E0E8D">
        <w:rPr>
          <w:rFonts w:ascii="Calibri" w:hAnsi="Calibri"/>
        </w:rPr>
        <w:t xml:space="preserve"> Design considerations, architecture, and use of the Mini-Sentinel distributed data system. </w:t>
      </w:r>
      <w:r w:rsidRPr="008E0E8D">
        <w:rPr>
          <w:rFonts w:ascii="Calibri" w:hAnsi="Calibri"/>
          <w:i/>
          <w:iCs/>
        </w:rPr>
        <w:t>Pharmacoepidemiol Drug Saf</w:t>
      </w:r>
      <w:r w:rsidRPr="008E0E8D">
        <w:rPr>
          <w:rFonts w:ascii="Calibri" w:hAnsi="Calibri"/>
        </w:rPr>
        <w:t xml:space="preserve"> 2012; </w:t>
      </w:r>
      <w:r w:rsidRPr="008E0E8D">
        <w:rPr>
          <w:rFonts w:ascii="Calibri" w:hAnsi="Calibri"/>
          <w:b/>
          <w:bCs/>
        </w:rPr>
        <w:t>21</w:t>
      </w:r>
      <w:r w:rsidRPr="008E0E8D">
        <w:rPr>
          <w:rFonts w:ascii="Calibri" w:hAnsi="Calibri"/>
        </w:rPr>
        <w:t>: 23–31.</w:t>
      </w:r>
    </w:p>
    <w:p w14:paraId="745C9F41" w14:textId="77777777" w:rsidR="008E0E8D" w:rsidRPr="008E0E8D" w:rsidRDefault="008E0E8D" w:rsidP="008E0E8D">
      <w:pPr>
        <w:pStyle w:val="Bibliography"/>
        <w:rPr>
          <w:rFonts w:ascii="Calibri" w:hAnsi="Calibri"/>
          <w:lang w:val="de-DE"/>
        </w:rPr>
      </w:pPr>
      <w:r w:rsidRPr="008E0E8D">
        <w:rPr>
          <w:rFonts w:ascii="Calibri" w:hAnsi="Calibri"/>
        </w:rPr>
        <w:t xml:space="preserve">16. </w:t>
      </w:r>
      <w:r w:rsidRPr="008E0E8D">
        <w:rPr>
          <w:rFonts w:ascii="Calibri" w:hAnsi="Calibri"/>
        </w:rPr>
        <w:tab/>
        <w:t xml:space="preserve">Baker MA, Nguyen M, Cole DV, Lee GM, Lieu TA. Post-licensure rapid immunization safety monitoring program (PRISM) data characterization. </w:t>
      </w:r>
      <w:r w:rsidRPr="008E0E8D">
        <w:rPr>
          <w:rFonts w:ascii="Calibri" w:hAnsi="Calibri"/>
          <w:i/>
          <w:iCs/>
          <w:lang w:val="de-DE"/>
        </w:rPr>
        <w:t>Vaccine</w:t>
      </w:r>
      <w:r w:rsidRPr="008E0E8D">
        <w:rPr>
          <w:rFonts w:ascii="Calibri" w:hAnsi="Calibri"/>
          <w:lang w:val="de-DE"/>
        </w:rPr>
        <w:t xml:space="preserve"> 2013; </w:t>
      </w:r>
      <w:r w:rsidRPr="008E0E8D">
        <w:rPr>
          <w:rFonts w:ascii="Calibri" w:hAnsi="Calibri"/>
          <w:b/>
          <w:bCs/>
          <w:lang w:val="de-DE"/>
        </w:rPr>
        <w:t>31</w:t>
      </w:r>
      <w:r w:rsidRPr="008E0E8D">
        <w:rPr>
          <w:rFonts w:ascii="Calibri" w:hAnsi="Calibri"/>
          <w:lang w:val="de-DE"/>
        </w:rPr>
        <w:t>: K98–K112.</w:t>
      </w:r>
    </w:p>
    <w:p w14:paraId="20568829" w14:textId="77777777" w:rsidR="008E0E8D" w:rsidRPr="008E0E8D" w:rsidRDefault="008E0E8D" w:rsidP="008E0E8D">
      <w:pPr>
        <w:pStyle w:val="Bibliography"/>
        <w:rPr>
          <w:rFonts w:ascii="Calibri" w:hAnsi="Calibri"/>
        </w:rPr>
      </w:pPr>
      <w:r w:rsidRPr="008E0E8D">
        <w:rPr>
          <w:rFonts w:ascii="Calibri" w:hAnsi="Calibri"/>
          <w:lang w:val="de-DE"/>
        </w:rPr>
        <w:t xml:space="preserve">17. </w:t>
      </w:r>
      <w:r w:rsidRPr="008E0E8D">
        <w:rPr>
          <w:rFonts w:ascii="Calibri" w:hAnsi="Calibri"/>
          <w:lang w:val="de-DE"/>
        </w:rPr>
        <w:tab/>
        <w:t xml:space="preserve">Chen RT, Glasser JW, Rhodes PH, </w:t>
      </w:r>
      <w:r w:rsidRPr="008E0E8D">
        <w:rPr>
          <w:rFonts w:ascii="Calibri" w:hAnsi="Calibri"/>
          <w:i/>
          <w:iCs/>
          <w:lang w:val="de-DE"/>
        </w:rPr>
        <w:t>et al.</w:t>
      </w:r>
      <w:r w:rsidRPr="008E0E8D">
        <w:rPr>
          <w:rFonts w:ascii="Calibri" w:hAnsi="Calibri"/>
          <w:lang w:val="de-DE"/>
        </w:rPr>
        <w:t xml:space="preserve"> </w:t>
      </w:r>
      <w:r w:rsidRPr="008E0E8D">
        <w:rPr>
          <w:rFonts w:ascii="Calibri" w:hAnsi="Calibri"/>
        </w:rPr>
        <w:t xml:space="preserve">Vaccine Safety Datalink project: a new tool for improving vaccine safety monitoring in the United States. </w:t>
      </w:r>
      <w:r w:rsidRPr="008E0E8D">
        <w:rPr>
          <w:rFonts w:ascii="Calibri" w:hAnsi="Calibri"/>
          <w:i/>
          <w:iCs/>
        </w:rPr>
        <w:t>Pediatrics</w:t>
      </w:r>
      <w:r w:rsidRPr="008E0E8D">
        <w:rPr>
          <w:rFonts w:ascii="Calibri" w:hAnsi="Calibri"/>
        </w:rPr>
        <w:t xml:space="preserve"> 1997; </w:t>
      </w:r>
      <w:r w:rsidRPr="008E0E8D">
        <w:rPr>
          <w:rFonts w:ascii="Calibri" w:hAnsi="Calibri"/>
          <w:b/>
          <w:bCs/>
        </w:rPr>
        <w:t>99</w:t>
      </w:r>
      <w:r w:rsidRPr="008E0E8D">
        <w:rPr>
          <w:rFonts w:ascii="Calibri" w:hAnsi="Calibri"/>
        </w:rPr>
        <w:t>: 765–773.</w:t>
      </w:r>
    </w:p>
    <w:p w14:paraId="32B25700" w14:textId="77777777" w:rsidR="008E0E8D" w:rsidRPr="008E0E8D" w:rsidRDefault="008E0E8D" w:rsidP="008E0E8D">
      <w:pPr>
        <w:pStyle w:val="Bibliography"/>
        <w:rPr>
          <w:rFonts w:ascii="Calibri" w:hAnsi="Calibri"/>
        </w:rPr>
      </w:pPr>
      <w:r w:rsidRPr="008E0E8D">
        <w:rPr>
          <w:rFonts w:ascii="Calibri" w:hAnsi="Calibri"/>
        </w:rPr>
        <w:t xml:space="preserve">18. </w:t>
      </w:r>
      <w:r w:rsidRPr="008E0E8D">
        <w:rPr>
          <w:rFonts w:ascii="Calibri" w:hAnsi="Calibri"/>
        </w:rPr>
        <w:tab/>
        <w:t xml:space="preserve">AsPEN collaborators, Andersen M, Bergman U, </w:t>
      </w:r>
      <w:r w:rsidRPr="008E0E8D">
        <w:rPr>
          <w:rFonts w:ascii="Calibri" w:hAnsi="Calibri"/>
          <w:i/>
          <w:iCs/>
        </w:rPr>
        <w:t>et al.</w:t>
      </w:r>
      <w:r w:rsidRPr="008E0E8D">
        <w:rPr>
          <w:rFonts w:ascii="Calibri" w:hAnsi="Calibri"/>
        </w:rPr>
        <w:t xml:space="preserve"> The Asian Pharmacoepidemiology Network (AsPEN): promoting multi-national collaboration for pharmacoepidemiologic research in Asia. </w:t>
      </w:r>
      <w:r w:rsidRPr="008E0E8D">
        <w:rPr>
          <w:rFonts w:ascii="Calibri" w:hAnsi="Calibri"/>
          <w:i/>
          <w:iCs/>
        </w:rPr>
        <w:t>Pharmacoepidemiol Drug Saf</w:t>
      </w:r>
      <w:r w:rsidRPr="008E0E8D">
        <w:rPr>
          <w:rFonts w:ascii="Calibri" w:hAnsi="Calibri"/>
        </w:rPr>
        <w:t xml:space="preserve"> 2013; </w:t>
      </w:r>
      <w:r w:rsidRPr="008E0E8D">
        <w:rPr>
          <w:rFonts w:ascii="Calibri" w:hAnsi="Calibri"/>
          <w:b/>
          <w:bCs/>
        </w:rPr>
        <w:t>22</w:t>
      </w:r>
      <w:r w:rsidRPr="008E0E8D">
        <w:rPr>
          <w:rFonts w:ascii="Calibri" w:hAnsi="Calibri"/>
        </w:rPr>
        <w:t>: 700–704. doi:10.1002/pds.3439.</w:t>
      </w:r>
    </w:p>
    <w:p w14:paraId="7EC06720" w14:textId="77777777" w:rsidR="008E0E8D" w:rsidRPr="008E0E8D" w:rsidRDefault="008E0E8D" w:rsidP="008E0E8D">
      <w:pPr>
        <w:pStyle w:val="Bibliography"/>
        <w:rPr>
          <w:rFonts w:ascii="Calibri" w:hAnsi="Calibri"/>
        </w:rPr>
      </w:pPr>
      <w:r w:rsidRPr="008E0E8D">
        <w:rPr>
          <w:rFonts w:ascii="Calibri" w:hAnsi="Calibri"/>
        </w:rPr>
        <w:lastRenderedPageBreak/>
        <w:t xml:space="preserve">19. </w:t>
      </w:r>
      <w:r w:rsidRPr="008E0E8D">
        <w:rPr>
          <w:rFonts w:ascii="Calibri" w:hAnsi="Calibri"/>
        </w:rPr>
        <w:tab/>
        <w:t xml:space="preserve">Overhage JM, Ryan PB, Reich CG, Hartzema AG, Stang PE. Validation of a common data model for active safety surveillance research. </w:t>
      </w:r>
      <w:r w:rsidRPr="008E0E8D">
        <w:rPr>
          <w:rFonts w:ascii="Calibri" w:hAnsi="Calibri"/>
          <w:i/>
          <w:iCs/>
        </w:rPr>
        <w:t>J Am Med Inform Assoc</w:t>
      </w:r>
      <w:r w:rsidRPr="008E0E8D">
        <w:rPr>
          <w:rFonts w:ascii="Calibri" w:hAnsi="Calibri"/>
        </w:rPr>
        <w:t xml:space="preserve"> 2012; </w:t>
      </w:r>
      <w:r w:rsidRPr="008E0E8D">
        <w:rPr>
          <w:rFonts w:ascii="Calibri" w:hAnsi="Calibri"/>
          <w:b/>
          <w:bCs/>
        </w:rPr>
        <w:t>19</w:t>
      </w:r>
      <w:r w:rsidRPr="008E0E8D">
        <w:rPr>
          <w:rFonts w:ascii="Calibri" w:hAnsi="Calibri"/>
        </w:rPr>
        <w:t>: 54–60.</w:t>
      </w:r>
    </w:p>
    <w:p w14:paraId="36412572" w14:textId="77777777" w:rsidR="008E0E8D" w:rsidRPr="008E0E8D" w:rsidRDefault="008E0E8D" w:rsidP="008E0E8D">
      <w:pPr>
        <w:pStyle w:val="Bibliography"/>
        <w:rPr>
          <w:rFonts w:ascii="Calibri" w:hAnsi="Calibri"/>
        </w:rPr>
      </w:pPr>
      <w:r w:rsidRPr="008E0E8D">
        <w:rPr>
          <w:rFonts w:ascii="Calibri" w:hAnsi="Calibri"/>
        </w:rPr>
        <w:t xml:space="preserve">20. </w:t>
      </w:r>
      <w:r w:rsidRPr="008E0E8D">
        <w:rPr>
          <w:rFonts w:ascii="Calibri" w:hAnsi="Calibri"/>
        </w:rPr>
        <w:tab/>
        <w:t xml:space="preserve">Hripcsak G, Duke JD, Shah NH, </w:t>
      </w:r>
      <w:r w:rsidRPr="008E0E8D">
        <w:rPr>
          <w:rFonts w:ascii="Calibri" w:hAnsi="Calibri"/>
          <w:i/>
          <w:iCs/>
        </w:rPr>
        <w:t>et al.</w:t>
      </w:r>
      <w:r w:rsidRPr="008E0E8D">
        <w:rPr>
          <w:rFonts w:ascii="Calibri" w:hAnsi="Calibri"/>
        </w:rPr>
        <w:t xml:space="preserve"> Observational Health Data Sciences and Informatics (OHDSI): Opportunities for Observational Researchers. </w:t>
      </w:r>
      <w:r w:rsidRPr="008E0E8D">
        <w:rPr>
          <w:rFonts w:ascii="Calibri" w:hAnsi="Calibri"/>
          <w:i/>
          <w:iCs/>
        </w:rPr>
        <w:t>Stud Health Technol Inform</w:t>
      </w:r>
      <w:r w:rsidRPr="008E0E8D">
        <w:rPr>
          <w:rFonts w:ascii="Calibri" w:hAnsi="Calibri"/>
        </w:rPr>
        <w:t xml:space="preserve"> 2015; </w:t>
      </w:r>
      <w:r w:rsidRPr="008E0E8D">
        <w:rPr>
          <w:rFonts w:ascii="Calibri" w:hAnsi="Calibri"/>
          <w:b/>
          <w:bCs/>
        </w:rPr>
        <w:t>216</w:t>
      </w:r>
      <w:r w:rsidRPr="008E0E8D">
        <w:rPr>
          <w:rFonts w:ascii="Calibri" w:hAnsi="Calibri"/>
        </w:rPr>
        <w:t>: 574–578.</w:t>
      </w:r>
    </w:p>
    <w:p w14:paraId="7C4652C3" w14:textId="77777777" w:rsidR="008E0E8D" w:rsidRPr="008E0E8D" w:rsidRDefault="008E0E8D" w:rsidP="008E0E8D">
      <w:pPr>
        <w:pStyle w:val="Bibliography"/>
        <w:rPr>
          <w:rFonts w:ascii="Calibri" w:hAnsi="Calibri"/>
        </w:rPr>
      </w:pPr>
      <w:r w:rsidRPr="008E0E8D">
        <w:rPr>
          <w:rFonts w:ascii="Calibri" w:hAnsi="Calibri"/>
        </w:rPr>
        <w:t xml:space="preserve">21. </w:t>
      </w:r>
      <w:r w:rsidRPr="008E0E8D">
        <w:rPr>
          <w:rFonts w:ascii="Calibri" w:hAnsi="Calibri"/>
        </w:rPr>
        <w:tab/>
        <w:t xml:space="preserve">McCray AT, Burgun A, Bodenreider O. Aggregating UMLS semantic types for reducing conceptual complexity. </w:t>
      </w:r>
      <w:r w:rsidRPr="008E0E8D">
        <w:rPr>
          <w:rFonts w:ascii="Calibri" w:hAnsi="Calibri"/>
          <w:i/>
          <w:iCs/>
        </w:rPr>
        <w:t>Stud Health Technol Inform</w:t>
      </w:r>
      <w:r w:rsidRPr="008E0E8D">
        <w:rPr>
          <w:rFonts w:ascii="Calibri" w:hAnsi="Calibri"/>
        </w:rPr>
        <w:t xml:space="preserve"> 2001; </w:t>
      </w:r>
      <w:r w:rsidRPr="008E0E8D">
        <w:rPr>
          <w:rFonts w:ascii="Calibri" w:hAnsi="Calibri"/>
          <w:b/>
          <w:bCs/>
        </w:rPr>
        <w:t>84</w:t>
      </w:r>
      <w:r w:rsidRPr="008E0E8D">
        <w:rPr>
          <w:rFonts w:ascii="Calibri" w:hAnsi="Calibri"/>
        </w:rPr>
        <w:t>: 216.</w:t>
      </w:r>
    </w:p>
    <w:p w14:paraId="30E20691" w14:textId="77777777" w:rsidR="008E0E8D" w:rsidRPr="008E0E8D" w:rsidRDefault="008E0E8D" w:rsidP="008E0E8D">
      <w:pPr>
        <w:pStyle w:val="Bibliography"/>
        <w:rPr>
          <w:rFonts w:ascii="Calibri" w:hAnsi="Calibri"/>
        </w:rPr>
      </w:pPr>
      <w:r w:rsidRPr="008E0E8D">
        <w:rPr>
          <w:rFonts w:ascii="Calibri" w:hAnsi="Calibri"/>
        </w:rPr>
        <w:t xml:space="preserve">22. </w:t>
      </w:r>
      <w:r w:rsidRPr="008E0E8D">
        <w:rPr>
          <w:rFonts w:ascii="Calibri" w:hAnsi="Calibri"/>
        </w:rPr>
        <w:tab/>
        <w:t xml:space="preserve">Rogers F. Medical subject headings. </w:t>
      </w:r>
      <w:r w:rsidRPr="008E0E8D">
        <w:rPr>
          <w:rFonts w:ascii="Calibri" w:hAnsi="Calibri"/>
          <w:i/>
          <w:iCs/>
        </w:rPr>
        <w:t>Bull Med Libr Assoc</w:t>
      </w:r>
      <w:r w:rsidRPr="008E0E8D">
        <w:rPr>
          <w:rFonts w:ascii="Calibri" w:hAnsi="Calibri"/>
        </w:rPr>
        <w:t xml:space="preserve"> 1963; </w:t>
      </w:r>
      <w:r w:rsidRPr="008E0E8D">
        <w:rPr>
          <w:rFonts w:ascii="Calibri" w:hAnsi="Calibri"/>
          <w:b/>
          <w:bCs/>
        </w:rPr>
        <w:t>51</w:t>
      </w:r>
      <w:r w:rsidRPr="008E0E8D">
        <w:rPr>
          <w:rFonts w:ascii="Calibri" w:hAnsi="Calibri"/>
        </w:rPr>
        <w:t>: 114.</w:t>
      </w:r>
    </w:p>
    <w:p w14:paraId="6A22A896" w14:textId="77777777" w:rsidR="008E0E8D" w:rsidRPr="008E0E8D" w:rsidRDefault="008E0E8D" w:rsidP="008E0E8D">
      <w:pPr>
        <w:pStyle w:val="Bibliography"/>
        <w:rPr>
          <w:rFonts w:ascii="Calibri" w:hAnsi="Calibri"/>
        </w:rPr>
      </w:pPr>
      <w:r w:rsidRPr="008E0E8D">
        <w:rPr>
          <w:rFonts w:ascii="Calibri" w:hAnsi="Calibri"/>
        </w:rPr>
        <w:t xml:space="preserve">23. </w:t>
      </w:r>
      <w:r w:rsidRPr="008E0E8D">
        <w:rPr>
          <w:rFonts w:ascii="Calibri" w:hAnsi="Calibri"/>
        </w:rPr>
        <w:tab/>
        <w:t xml:space="preserve">Brown EG, Wood L, Wood S. The medical dictionary for regulatory activities (MedDRA). </w:t>
      </w:r>
      <w:r w:rsidRPr="008E0E8D">
        <w:rPr>
          <w:rFonts w:ascii="Calibri" w:hAnsi="Calibri"/>
          <w:i/>
          <w:iCs/>
        </w:rPr>
        <w:t>Drug Saf</w:t>
      </w:r>
      <w:r w:rsidRPr="008E0E8D">
        <w:rPr>
          <w:rFonts w:ascii="Calibri" w:hAnsi="Calibri"/>
        </w:rPr>
        <w:t xml:space="preserve"> 1999; </w:t>
      </w:r>
      <w:r w:rsidRPr="008E0E8D">
        <w:rPr>
          <w:rFonts w:ascii="Calibri" w:hAnsi="Calibri"/>
          <w:b/>
          <w:bCs/>
        </w:rPr>
        <w:t>20</w:t>
      </w:r>
      <w:r w:rsidRPr="008E0E8D">
        <w:rPr>
          <w:rFonts w:ascii="Calibri" w:hAnsi="Calibri"/>
        </w:rPr>
        <w:t>: 109–117.</w:t>
      </w:r>
    </w:p>
    <w:p w14:paraId="4EAA805F" w14:textId="77777777" w:rsidR="008E0E8D" w:rsidRPr="008E0E8D" w:rsidRDefault="008E0E8D" w:rsidP="008E0E8D">
      <w:pPr>
        <w:pStyle w:val="Bibliography"/>
        <w:rPr>
          <w:rFonts w:ascii="Calibri" w:hAnsi="Calibri"/>
        </w:rPr>
      </w:pPr>
      <w:r w:rsidRPr="008E0E8D">
        <w:rPr>
          <w:rFonts w:ascii="Calibri" w:hAnsi="Calibri"/>
        </w:rPr>
        <w:t xml:space="preserve">24. </w:t>
      </w:r>
      <w:r w:rsidRPr="008E0E8D">
        <w:rPr>
          <w:rFonts w:ascii="Calibri" w:hAnsi="Calibri"/>
        </w:rPr>
        <w:tab/>
        <w:t xml:space="preserve">Donnelly K. SNOMED-CT: The advanced terminology and coding system for eHealth. </w:t>
      </w:r>
      <w:r w:rsidRPr="008E0E8D">
        <w:rPr>
          <w:rFonts w:ascii="Calibri" w:hAnsi="Calibri"/>
          <w:i/>
          <w:iCs/>
        </w:rPr>
        <w:t>Stud Health Technol Inform</w:t>
      </w:r>
      <w:r w:rsidRPr="008E0E8D">
        <w:rPr>
          <w:rFonts w:ascii="Calibri" w:hAnsi="Calibri"/>
        </w:rPr>
        <w:t xml:space="preserve"> 2006; </w:t>
      </w:r>
      <w:r w:rsidRPr="008E0E8D">
        <w:rPr>
          <w:rFonts w:ascii="Calibri" w:hAnsi="Calibri"/>
          <w:b/>
          <w:bCs/>
        </w:rPr>
        <w:t>121</w:t>
      </w:r>
      <w:r w:rsidRPr="008E0E8D">
        <w:rPr>
          <w:rFonts w:ascii="Calibri" w:hAnsi="Calibri"/>
        </w:rPr>
        <w:t>: 279.</w:t>
      </w:r>
    </w:p>
    <w:p w14:paraId="7E0B9C57" w14:textId="77777777" w:rsidR="008E0E8D" w:rsidRPr="008E0E8D" w:rsidRDefault="008E0E8D" w:rsidP="008E0E8D">
      <w:pPr>
        <w:pStyle w:val="Bibliography"/>
        <w:rPr>
          <w:rFonts w:ascii="Calibri" w:hAnsi="Calibri"/>
        </w:rPr>
      </w:pPr>
      <w:r w:rsidRPr="008E0E8D">
        <w:rPr>
          <w:rFonts w:ascii="Calibri" w:hAnsi="Calibri"/>
        </w:rPr>
        <w:t xml:space="preserve">25. </w:t>
      </w:r>
      <w:r w:rsidRPr="008E0E8D">
        <w:rPr>
          <w:rFonts w:ascii="Calibri" w:hAnsi="Calibri"/>
        </w:rPr>
        <w:tab/>
        <w:t xml:space="preserve">Schuemie MJ, Jelier R, Kors JA. Peregrine: Lightweight gene name normalization by dictionary lookup. In: </w:t>
      </w:r>
      <w:r w:rsidRPr="008E0E8D">
        <w:rPr>
          <w:rFonts w:ascii="Calibri" w:hAnsi="Calibri"/>
          <w:i/>
          <w:iCs/>
        </w:rPr>
        <w:t>Proc of the Second BioCreative Challenge Evaluation Workshop</w:t>
      </w:r>
      <w:r w:rsidRPr="008E0E8D">
        <w:rPr>
          <w:rFonts w:ascii="Calibri" w:hAnsi="Calibri"/>
        </w:rPr>
        <w:t>., 2007; 131–133.</w:t>
      </w:r>
    </w:p>
    <w:p w14:paraId="1E79C206" w14:textId="77777777" w:rsidR="008E0E8D" w:rsidRPr="008E0E8D" w:rsidRDefault="008E0E8D" w:rsidP="008E0E8D">
      <w:pPr>
        <w:pStyle w:val="Bibliography"/>
        <w:rPr>
          <w:rFonts w:ascii="Calibri" w:hAnsi="Calibri"/>
        </w:rPr>
      </w:pPr>
      <w:r w:rsidRPr="008E0E8D">
        <w:rPr>
          <w:rFonts w:ascii="Calibri" w:hAnsi="Calibri"/>
        </w:rPr>
        <w:t xml:space="preserve">26. </w:t>
      </w:r>
      <w:r w:rsidRPr="008E0E8D">
        <w:rPr>
          <w:rFonts w:ascii="Calibri" w:hAnsi="Calibri"/>
        </w:rPr>
        <w:tab/>
        <w:t xml:space="preserve">Bean A, Green R. </w:t>
      </w:r>
      <w:r w:rsidRPr="008E0E8D">
        <w:rPr>
          <w:rFonts w:ascii="Calibri" w:hAnsi="Calibri"/>
          <w:i/>
          <w:iCs/>
        </w:rPr>
        <w:t>Relationships in the Organization of Knowledge</w:t>
      </w:r>
      <w:r w:rsidRPr="008E0E8D">
        <w:rPr>
          <w:rFonts w:ascii="Calibri" w:hAnsi="Calibri"/>
        </w:rPr>
        <w:t>. Springer Science &amp; Business Media, 2013.</w:t>
      </w:r>
    </w:p>
    <w:p w14:paraId="401522CB" w14:textId="77777777" w:rsidR="008E0E8D" w:rsidRPr="008E0E8D" w:rsidRDefault="008E0E8D" w:rsidP="008E0E8D">
      <w:pPr>
        <w:pStyle w:val="Bibliography"/>
        <w:rPr>
          <w:rFonts w:ascii="Calibri" w:hAnsi="Calibri"/>
        </w:rPr>
      </w:pPr>
      <w:r w:rsidRPr="008E0E8D">
        <w:rPr>
          <w:rFonts w:ascii="Calibri" w:hAnsi="Calibri"/>
        </w:rPr>
        <w:t xml:space="preserve">27. </w:t>
      </w:r>
      <w:r w:rsidRPr="008E0E8D">
        <w:rPr>
          <w:rFonts w:ascii="Calibri" w:hAnsi="Calibri"/>
        </w:rPr>
        <w:tab/>
        <w:t xml:space="preserve">Schmedt N, Bezemer I, Berardis GD, </w:t>
      </w:r>
      <w:r w:rsidRPr="008E0E8D">
        <w:rPr>
          <w:rFonts w:ascii="Calibri" w:hAnsi="Calibri"/>
          <w:i/>
          <w:iCs/>
        </w:rPr>
        <w:t>et al.</w:t>
      </w:r>
      <w:r w:rsidRPr="008E0E8D">
        <w:rPr>
          <w:rFonts w:ascii="Calibri" w:hAnsi="Calibri"/>
        </w:rPr>
        <w:t xml:space="preserve"> Benchmarking of Definitions and Algorithms to Extract Outcome Events in the EU-funded SAFEGUARD Project. 2013. Available at: http://www.safeguard-diabetes.org/?q=system/files/private/SAFEGUARD_DGEpi_2013_Benchmarking_FINAL.pdf. Accessed August 11, 2016.</w:t>
      </w:r>
    </w:p>
    <w:p w14:paraId="05E48B95" w14:textId="77777777" w:rsidR="008E0E8D" w:rsidRPr="008E0E8D" w:rsidRDefault="008E0E8D" w:rsidP="008E0E8D">
      <w:pPr>
        <w:pStyle w:val="Bibliography"/>
        <w:rPr>
          <w:rFonts w:ascii="Calibri" w:hAnsi="Calibri"/>
        </w:rPr>
      </w:pPr>
      <w:r w:rsidRPr="008E0E8D">
        <w:rPr>
          <w:rFonts w:ascii="Calibri" w:hAnsi="Calibri"/>
        </w:rPr>
        <w:t xml:space="preserve">28. </w:t>
      </w:r>
      <w:r w:rsidRPr="008E0E8D">
        <w:rPr>
          <w:rFonts w:ascii="Calibri" w:hAnsi="Calibri"/>
        </w:rPr>
        <w:tab/>
        <w:t xml:space="preserve">Bodenreider O, Burgun A, Botti G, Fieschi M, Le Beux P, Kohler F. Evaluation of the Unified Medical Language System as a medical knowledge source. </w:t>
      </w:r>
      <w:r w:rsidRPr="008E0E8D">
        <w:rPr>
          <w:rFonts w:ascii="Calibri" w:hAnsi="Calibri"/>
          <w:i/>
          <w:iCs/>
        </w:rPr>
        <w:t>J Am Med Inform Assoc</w:t>
      </w:r>
      <w:r w:rsidRPr="008E0E8D">
        <w:rPr>
          <w:rFonts w:ascii="Calibri" w:hAnsi="Calibri"/>
        </w:rPr>
        <w:t xml:space="preserve"> 1998; </w:t>
      </w:r>
      <w:r w:rsidRPr="008E0E8D">
        <w:rPr>
          <w:rFonts w:ascii="Calibri" w:hAnsi="Calibri"/>
          <w:b/>
          <w:bCs/>
        </w:rPr>
        <w:t>5</w:t>
      </w:r>
      <w:r w:rsidRPr="008E0E8D">
        <w:rPr>
          <w:rFonts w:ascii="Calibri" w:hAnsi="Calibri"/>
        </w:rPr>
        <w:t>: 76–87.</w:t>
      </w:r>
    </w:p>
    <w:p w14:paraId="2BCB91B2" w14:textId="77777777" w:rsidR="008E0E8D" w:rsidRPr="008E0E8D" w:rsidRDefault="008E0E8D" w:rsidP="008E0E8D">
      <w:pPr>
        <w:pStyle w:val="Bibliography"/>
        <w:rPr>
          <w:rFonts w:ascii="Calibri" w:hAnsi="Calibri"/>
        </w:rPr>
      </w:pPr>
      <w:r w:rsidRPr="008E0E8D">
        <w:rPr>
          <w:rFonts w:ascii="Calibri" w:hAnsi="Calibri"/>
        </w:rPr>
        <w:t xml:space="preserve">29. </w:t>
      </w:r>
      <w:r w:rsidRPr="008E0E8D">
        <w:rPr>
          <w:rFonts w:ascii="Calibri" w:hAnsi="Calibri"/>
        </w:rPr>
        <w:tab/>
        <w:t xml:space="preserve">Cimino JJ, Min H, Perl Y. Consistency across the hierarchies of the UMLS Semantic Network and Metathesaurus. </w:t>
      </w:r>
      <w:r w:rsidRPr="008E0E8D">
        <w:rPr>
          <w:rFonts w:ascii="Calibri" w:hAnsi="Calibri"/>
          <w:i/>
          <w:iCs/>
        </w:rPr>
        <w:t>J Biomed Inform</w:t>
      </w:r>
      <w:r w:rsidRPr="008E0E8D">
        <w:rPr>
          <w:rFonts w:ascii="Calibri" w:hAnsi="Calibri"/>
        </w:rPr>
        <w:t xml:space="preserve"> 2003; </w:t>
      </w:r>
      <w:r w:rsidRPr="008E0E8D">
        <w:rPr>
          <w:rFonts w:ascii="Calibri" w:hAnsi="Calibri"/>
          <w:b/>
          <w:bCs/>
        </w:rPr>
        <w:t>36</w:t>
      </w:r>
      <w:r w:rsidRPr="008E0E8D">
        <w:rPr>
          <w:rFonts w:ascii="Calibri" w:hAnsi="Calibri"/>
        </w:rPr>
        <w:t>: 450–461.</w:t>
      </w:r>
    </w:p>
    <w:p w14:paraId="3BA126D7" w14:textId="77777777" w:rsidR="008E0E8D" w:rsidRPr="008E0E8D" w:rsidRDefault="008E0E8D" w:rsidP="008E0E8D">
      <w:pPr>
        <w:pStyle w:val="Bibliography"/>
        <w:rPr>
          <w:rFonts w:ascii="Calibri" w:hAnsi="Calibri"/>
        </w:rPr>
      </w:pPr>
      <w:r w:rsidRPr="008E0E8D">
        <w:rPr>
          <w:rFonts w:ascii="Calibri" w:hAnsi="Calibri"/>
        </w:rPr>
        <w:t xml:space="preserve">30. </w:t>
      </w:r>
      <w:r w:rsidRPr="008E0E8D">
        <w:rPr>
          <w:rFonts w:ascii="Calibri" w:hAnsi="Calibri"/>
        </w:rPr>
        <w:tab/>
        <w:t xml:space="preserve">Erdogan H, Erdem E, Bodenreider O. Exploiting UMLS semantics for checking semantic consistency among UMLS concepts. </w:t>
      </w:r>
      <w:r w:rsidRPr="008E0E8D">
        <w:rPr>
          <w:rFonts w:ascii="Calibri" w:hAnsi="Calibri"/>
          <w:i/>
          <w:iCs/>
        </w:rPr>
        <w:t>Stud Health Technol Inform</w:t>
      </w:r>
      <w:r w:rsidRPr="008E0E8D">
        <w:rPr>
          <w:rFonts w:ascii="Calibri" w:hAnsi="Calibri"/>
        </w:rPr>
        <w:t xml:space="preserve"> 2010; </w:t>
      </w:r>
      <w:r w:rsidRPr="008E0E8D">
        <w:rPr>
          <w:rFonts w:ascii="Calibri" w:hAnsi="Calibri"/>
          <w:b/>
          <w:bCs/>
        </w:rPr>
        <w:t>160</w:t>
      </w:r>
      <w:r w:rsidRPr="008E0E8D">
        <w:rPr>
          <w:rFonts w:ascii="Calibri" w:hAnsi="Calibri"/>
        </w:rPr>
        <w:t>: 749.</w:t>
      </w:r>
    </w:p>
    <w:p w14:paraId="305BE364" w14:textId="77777777" w:rsidR="008E0E8D" w:rsidRPr="008E0E8D" w:rsidRDefault="008E0E8D" w:rsidP="008E0E8D">
      <w:pPr>
        <w:pStyle w:val="Bibliography"/>
        <w:rPr>
          <w:rFonts w:ascii="Calibri" w:hAnsi="Calibri"/>
        </w:rPr>
      </w:pPr>
      <w:r w:rsidRPr="008E0E8D">
        <w:rPr>
          <w:rFonts w:ascii="Calibri" w:hAnsi="Calibri"/>
        </w:rPr>
        <w:t xml:space="preserve">31. </w:t>
      </w:r>
      <w:r w:rsidRPr="008E0E8D">
        <w:rPr>
          <w:rFonts w:ascii="Calibri" w:hAnsi="Calibri"/>
        </w:rPr>
        <w:tab/>
        <w:t xml:space="preserve">Reich C, Ryan PB, Stang PE, Rocca M. Evaluation of alternative standardized terminologies for medical conditions within a network of observational healthcare databases. </w:t>
      </w:r>
      <w:r w:rsidRPr="008E0E8D">
        <w:rPr>
          <w:rFonts w:ascii="Calibri" w:hAnsi="Calibri"/>
          <w:i/>
          <w:iCs/>
        </w:rPr>
        <w:t>J Biomed Inform</w:t>
      </w:r>
      <w:r w:rsidRPr="008E0E8D">
        <w:rPr>
          <w:rFonts w:ascii="Calibri" w:hAnsi="Calibri"/>
        </w:rPr>
        <w:t xml:space="preserve"> 2012; </w:t>
      </w:r>
      <w:r w:rsidRPr="008E0E8D">
        <w:rPr>
          <w:rFonts w:ascii="Calibri" w:hAnsi="Calibri"/>
          <w:b/>
          <w:bCs/>
        </w:rPr>
        <w:t>45</w:t>
      </w:r>
      <w:r w:rsidRPr="008E0E8D">
        <w:rPr>
          <w:rFonts w:ascii="Calibri" w:hAnsi="Calibri"/>
        </w:rPr>
        <w:t>: 689–696.</w:t>
      </w:r>
    </w:p>
    <w:p w14:paraId="502F52A3" w14:textId="77777777" w:rsidR="008E0E8D" w:rsidRPr="008E0E8D" w:rsidRDefault="008E0E8D" w:rsidP="008E0E8D">
      <w:pPr>
        <w:pStyle w:val="Bibliography"/>
        <w:rPr>
          <w:rFonts w:ascii="Calibri" w:hAnsi="Calibri"/>
        </w:rPr>
      </w:pPr>
      <w:r w:rsidRPr="008E0E8D">
        <w:rPr>
          <w:rFonts w:ascii="Calibri" w:hAnsi="Calibri"/>
        </w:rPr>
        <w:lastRenderedPageBreak/>
        <w:t xml:space="preserve">32. </w:t>
      </w:r>
      <w:r w:rsidRPr="008E0E8D">
        <w:rPr>
          <w:rFonts w:ascii="Calibri" w:hAnsi="Calibri"/>
        </w:rPr>
        <w:tab/>
        <w:t xml:space="preserve">Harkema H, Dowling JN, Thornblade T, Chapman WW. ConText: an algorithm for determining negation, experiencer, and temporal status from clinical reports. </w:t>
      </w:r>
      <w:r w:rsidRPr="008E0E8D">
        <w:rPr>
          <w:rFonts w:ascii="Calibri" w:hAnsi="Calibri"/>
          <w:i/>
          <w:iCs/>
        </w:rPr>
        <w:t>J Biomed Inform</w:t>
      </w:r>
      <w:r w:rsidRPr="008E0E8D">
        <w:rPr>
          <w:rFonts w:ascii="Calibri" w:hAnsi="Calibri"/>
        </w:rPr>
        <w:t xml:space="preserve"> 2009; </w:t>
      </w:r>
      <w:r w:rsidRPr="008E0E8D">
        <w:rPr>
          <w:rFonts w:ascii="Calibri" w:hAnsi="Calibri"/>
          <w:b/>
          <w:bCs/>
        </w:rPr>
        <w:t>42</w:t>
      </w:r>
      <w:r w:rsidRPr="008E0E8D">
        <w:rPr>
          <w:rFonts w:ascii="Calibri" w:hAnsi="Calibri"/>
        </w:rPr>
        <w:t>: 839–851.</w:t>
      </w:r>
    </w:p>
    <w:p w14:paraId="42A25BA8" w14:textId="6E3D3A28" w:rsidR="00674B6B" w:rsidRDefault="00D46A50" w:rsidP="00211D26">
      <w:r>
        <w:fldChar w:fldCharType="end"/>
      </w:r>
      <w:r w:rsidR="00B10E7A">
        <w:br w:type="page"/>
      </w:r>
    </w:p>
    <w:p w14:paraId="2FD5C5D5" w14:textId="0764AA70" w:rsidR="00674B6B" w:rsidRDefault="00033EFC" w:rsidP="003D1019">
      <w:pPr>
        <w:pStyle w:val="Heading1"/>
      </w:pPr>
      <w:r>
        <w:lastRenderedPageBreak/>
        <w:t>Figure legends</w:t>
      </w:r>
    </w:p>
    <w:p w14:paraId="2B0EF190" w14:textId="2EDEADA9" w:rsidR="00CA7289" w:rsidRDefault="00CA7289" w:rsidP="00D2308B">
      <w:pPr>
        <w:pStyle w:val="Caption"/>
      </w:pPr>
      <w:bookmarkStart w:id="0" w:name="_Ref445830283"/>
      <w:r>
        <w:rPr>
          <w:noProof/>
          <w:lang w:eastAsia="en-GB"/>
        </w:rPr>
        <w:drawing>
          <wp:inline distT="0" distB="0" distL="0" distR="0" wp14:anchorId="2FB90184" wp14:editId="75557DFF">
            <wp:extent cx="59690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9000" cy="2321560"/>
                    </a:xfrm>
                    <a:prstGeom prst="rect">
                      <a:avLst/>
                    </a:prstGeom>
                  </pic:spPr>
                </pic:pic>
              </a:graphicData>
            </a:graphic>
          </wp:inline>
        </w:drawing>
      </w:r>
    </w:p>
    <w:p w14:paraId="6E10E282" w14:textId="0B27CE08" w:rsidR="00674B6B" w:rsidRDefault="00B10E7A" w:rsidP="00D2308B">
      <w:pPr>
        <w:pStyle w:val="Caption"/>
      </w:pPr>
      <w:r>
        <w:t xml:space="preserve">Figure </w:t>
      </w:r>
      <w:bookmarkEnd w:id="0"/>
      <w:r>
        <w:t xml:space="preserve">1: Key phases of CodeMapper (top) and the usage of information from the UMLS Metathesaurus, </w:t>
      </w:r>
      <w:r w:rsidR="00A8489D">
        <w:t>exemplified</w:t>
      </w:r>
      <w:r>
        <w:t xml:space="preserve"> by the concept for </w:t>
      </w:r>
      <w:r>
        <w:rPr>
          <w:i w:val="0"/>
        </w:rPr>
        <w:t>Cough</w:t>
      </w:r>
      <w:r>
        <w:t xml:space="preserve"> with CUI C0010200 (bottom). Terms from the Metathesaurus drive the automatic identification of concepts in the free-text case definition. Hierarchical information about concepts in the Metathesaurus is used to retrieve related concepts during revision of the mapping. Information in the Metathesaurus is used to project </w:t>
      </w:r>
      <w:r w:rsidR="00085615">
        <w:t xml:space="preserve">the selected </w:t>
      </w:r>
      <w:r>
        <w:t>concepts to codes from the targeted vocabularies.</w:t>
      </w:r>
    </w:p>
    <w:p w14:paraId="2DCDA0E7" w14:textId="79D37E35" w:rsidR="00CA7289" w:rsidRDefault="00CA7289">
      <w:pPr>
        <w:spacing w:beforeAutospacing="0" w:afterAutospacing="0" w:line="240" w:lineRule="auto"/>
      </w:pPr>
      <w:r>
        <w:br w:type="page"/>
      </w:r>
    </w:p>
    <w:p w14:paraId="684E648E" w14:textId="77777777" w:rsidR="00CA7289" w:rsidRDefault="00CA7289" w:rsidP="00CA7289">
      <w:r>
        <w:lastRenderedPageBreak/>
        <w:t xml:space="preserve">a) </w:t>
      </w:r>
      <w:r>
        <w:rPr>
          <w:noProof/>
          <w:lang w:eastAsia="en-GB"/>
        </w:rPr>
        <w:drawing>
          <wp:inline distT="0" distB="0" distL="0" distR="0" wp14:anchorId="379B1E2F" wp14:editId="5C534F19">
            <wp:extent cx="5224007" cy="283096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1881" cy="2829815"/>
                    </a:xfrm>
                    <a:prstGeom prst="rect">
                      <a:avLst/>
                    </a:prstGeom>
                  </pic:spPr>
                </pic:pic>
              </a:graphicData>
            </a:graphic>
          </wp:inline>
        </w:drawing>
      </w:r>
    </w:p>
    <w:p w14:paraId="5B11EBA0" w14:textId="22747B32" w:rsidR="00CA7289" w:rsidRPr="00CA7289" w:rsidRDefault="00CA7289" w:rsidP="00CA7289">
      <w:r>
        <w:t xml:space="preserve">b) </w:t>
      </w:r>
      <w:r>
        <w:rPr>
          <w:noProof/>
          <w:lang w:eastAsia="en-GB"/>
        </w:rPr>
        <w:drawing>
          <wp:inline distT="0" distB="0" distL="0" distR="0" wp14:anchorId="55FFB7E8" wp14:editId="37339895">
            <wp:extent cx="5049078" cy="295209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7023" cy="2950898"/>
                    </a:xfrm>
                    <a:prstGeom prst="rect">
                      <a:avLst/>
                    </a:prstGeom>
                  </pic:spPr>
                </pic:pic>
              </a:graphicData>
            </a:graphic>
          </wp:inline>
        </w:drawing>
      </w:r>
    </w:p>
    <w:p w14:paraId="18CE815A" w14:textId="489CE9F6" w:rsidR="00674B6B" w:rsidRDefault="00B10E7A">
      <w:pPr>
        <w:pStyle w:val="Caption"/>
      </w:pPr>
      <w:r>
        <w:lastRenderedPageBreak/>
        <w:t xml:space="preserve">Figure 2: </w:t>
      </w:r>
      <w:r w:rsidR="00883001">
        <w:t xml:space="preserve">a) </w:t>
      </w:r>
      <w:r>
        <w:t xml:space="preserve">The second screen of the CodeMapper application provides operations to revise the concepts of a mapping. </w:t>
      </w:r>
      <w:r w:rsidR="008057BD">
        <w:t>The mapping is displayed as a table</w:t>
      </w:r>
      <w:r>
        <w:t>. The cells show the code names from the vocabulary stated in the column that correspond to the concept of the row. Individual codes are shown when hovering the terms. The balloons in the last column indicate the number of comments attached to a concept.</w:t>
      </w:r>
      <w:r w:rsidR="00B1782B">
        <w:t xml:space="preserve"> </w:t>
      </w:r>
      <w:r w:rsidR="00883001">
        <w:t xml:space="preserve">b) </w:t>
      </w:r>
      <w:r w:rsidR="00506EE6" w:rsidRPr="00506EE6">
        <w:t>Example of the operation for concept expansion: A list of concepts that are related to Pertussis (more specific) is displayed for the selection and insertion in the mapping.</w:t>
      </w:r>
    </w:p>
    <w:p w14:paraId="45D489F1" w14:textId="77777777" w:rsidR="00CA7289" w:rsidRDefault="00CA7289">
      <w:pPr>
        <w:spacing w:beforeAutospacing="0" w:afterAutospacing="0" w:line="240" w:lineRule="auto"/>
        <w:rPr>
          <w:i/>
          <w:szCs w:val="24"/>
        </w:rPr>
      </w:pPr>
      <w:bookmarkStart w:id="1" w:name="_Ref446079920"/>
      <w:r>
        <w:br w:type="page"/>
      </w:r>
    </w:p>
    <w:p w14:paraId="03008A4D" w14:textId="1FA39365" w:rsidR="00674B6B" w:rsidRDefault="00CA7289" w:rsidP="0054364F">
      <w:pPr>
        <w:pStyle w:val="Caption"/>
      </w:pPr>
      <w:r>
        <w:rPr>
          <w:noProof/>
          <w:lang w:eastAsia="en-GB"/>
        </w:rPr>
        <w:lastRenderedPageBreak/>
        <w:drawing>
          <wp:inline distT="0" distB="0" distL="0" distR="0" wp14:anchorId="615A4B41" wp14:editId="60D8BBCC">
            <wp:extent cx="3959750" cy="13378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8139" cy="1337346"/>
                    </a:xfrm>
                    <a:prstGeom prst="rect">
                      <a:avLst/>
                    </a:prstGeom>
                  </pic:spPr>
                </pic:pic>
              </a:graphicData>
            </a:graphic>
          </wp:inline>
        </w:drawing>
      </w:r>
      <w:r w:rsidR="00B10E7A">
        <w:t xml:space="preserve">Figure </w:t>
      </w:r>
      <w:bookmarkEnd w:id="1"/>
      <w:r w:rsidR="00750BCF">
        <w:t>3</w:t>
      </w:r>
      <w:r w:rsidR="00B10E7A">
        <w:t xml:space="preserve">: Automatic evaluation of CodeMapper. Reference code sets were created manually for each targeted vocabulary from the free-text case definition of an event. The baseline mappings and expansion steps were generated automatically from the same case </w:t>
      </w:r>
      <w:bookmarkStart w:id="2" w:name="_GoBack"/>
      <w:bookmarkEnd w:id="2"/>
      <w:r w:rsidR="00B10E7A">
        <w:t xml:space="preserve">definition </w:t>
      </w:r>
      <w:r w:rsidR="00083880">
        <w:t>using</w:t>
      </w:r>
      <w:r w:rsidR="00B10E7A">
        <w:t xml:space="preserve"> the operations available in CodeMapper.</w:t>
      </w:r>
    </w:p>
    <w:p w14:paraId="35FB0959" w14:textId="293FD3B5" w:rsidR="00CA7289" w:rsidRPr="00CA7289" w:rsidRDefault="00CA7289" w:rsidP="00CA7289">
      <w:r>
        <w:rPr>
          <w:noProof/>
          <w:lang w:eastAsia="en-GB"/>
        </w:rPr>
        <w:drawing>
          <wp:inline distT="0" distB="0" distL="0" distR="0" wp14:anchorId="10A9985B" wp14:editId="042632C5">
            <wp:extent cx="3991555" cy="142167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9931" cy="1421094"/>
                    </a:xfrm>
                    <a:prstGeom prst="rect">
                      <a:avLst/>
                    </a:prstGeom>
                  </pic:spPr>
                </pic:pic>
              </a:graphicData>
            </a:graphic>
          </wp:inline>
        </w:drawing>
      </w:r>
    </w:p>
    <w:p w14:paraId="2A3C3081" w14:textId="74C11BFC" w:rsidR="00674B6B" w:rsidRDefault="00B10E7A" w:rsidP="0054364F">
      <w:pPr>
        <w:pStyle w:val="Caption"/>
      </w:pPr>
      <w:r>
        <w:t xml:space="preserve">Figure </w:t>
      </w:r>
      <w:r w:rsidR="00AA316C">
        <w:t>4</w:t>
      </w:r>
      <w:r>
        <w:t>: Categories of false negatives and false positives in the error analysis. Two codes are siblings if they are associated with the same concept.</w:t>
      </w:r>
    </w:p>
    <w:p w14:paraId="621D927D" w14:textId="77777777" w:rsidR="00674B6B" w:rsidRDefault="00B10E7A">
      <w:pPr>
        <w:spacing w:beforeAutospacing="0" w:after="200" w:afterAutospacing="0" w:line="276" w:lineRule="auto"/>
      </w:pPr>
      <w:r>
        <w:br w:type="page"/>
      </w:r>
    </w:p>
    <w:p w14:paraId="53A21EEA" w14:textId="62C80495" w:rsidR="00D2308B" w:rsidRDefault="00D2308B" w:rsidP="00D2308B">
      <w:pPr>
        <w:pStyle w:val="Heading1"/>
      </w:pPr>
      <w:bookmarkStart w:id="3" w:name="_Ref445743726"/>
      <w:r>
        <w:lastRenderedPageBreak/>
        <w:t>Tables</w:t>
      </w:r>
    </w:p>
    <w:p w14:paraId="6848166E" w14:textId="495BC6EF" w:rsidR="00AD3E92" w:rsidRDefault="00B10E7A" w:rsidP="00E05BFD">
      <w:pPr>
        <w:pStyle w:val="Caption"/>
        <w:keepNext/>
      </w:pPr>
      <w:proofErr w:type="gramStart"/>
      <w:r>
        <w:t xml:space="preserve">Table </w:t>
      </w:r>
      <w:proofErr w:type="gramEnd"/>
      <w:r>
        <w:fldChar w:fldCharType="begin"/>
      </w:r>
      <w:r>
        <w:instrText>SEQ Table \* ARABIC</w:instrText>
      </w:r>
      <w:r>
        <w:fldChar w:fldCharType="separate"/>
      </w:r>
      <w:r w:rsidR="00406051">
        <w:rPr>
          <w:noProof/>
        </w:rPr>
        <w:t>1</w:t>
      </w:r>
      <w:r>
        <w:fldChar w:fldCharType="end"/>
      </w:r>
      <w:bookmarkEnd w:id="3"/>
      <w:proofErr w:type="gramStart"/>
      <w:r>
        <w:t>: Number of words in case definitions and number of codes in the reference set.</w:t>
      </w:r>
      <w:proofErr w:type="gramEnd"/>
      <w:r>
        <w:t xml:space="preserve"> The numbers of exclusion codes are gi</w:t>
      </w:r>
      <w:r w:rsidR="00D63859">
        <w:t>ven in brackets.</w:t>
      </w:r>
    </w:p>
    <w:tbl>
      <w:tblPr>
        <w:tblStyle w:val="TableGrid"/>
        <w:tblW w:w="7612" w:type="dxa"/>
        <w:tblLook w:val="0020" w:firstRow="1" w:lastRow="0" w:firstColumn="0" w:lastColumn="0" w:noHBand="0" w:noVBand="0"/>
      </w:tblPr>
      <w:tblGrid>
        <w:gridCol w:w="2494"/>
        <w:gridCol w:w="1474"/>
        <w:gridCol w:w="888"/>
        <w:gridCol w:w="939"/>
        <w:gridCol w:w="907"/>
        <w:gridCol w:w="598"/>
        <w:gridCol w:w="236"/>
        <w:gridCol w:w="76"/>
      </w:tblGrid>
      <w:tr w:rsidR="004F3404" w14:paraId="13E865AF" w14:textId="77777777" w:rsidTr="00D04965">
        <w:trPr>
          <w:gridAfter w:val="1"/>
          <w:wAfter w:w="76" w:type="dxa"/>
          <w:trHeight w:val="345"/>
          <w:tblHeader/>
        </w:trPr>
        <w:tc>
          <w:tcPr>
            <w:tcW w:w="2494" w:type="dxa"/>
            <w:tcBorders>
              <w:top w:val="nil"/>
            </w:tcBorders>
            <w:shd w:val="clear" w:color="auto" w:fill="auto"/>
            <w:vAlign w:val="center"/>
          </w:tcPr>
          <w:p w14:paraId="51CEF729" w14:textId="77777777" w:rsidR="00CF6E24" w:rsidRDefault="00CF6E24" w:rsidP="00CF6E24">
            <w:pPr>
              <w:pStyle w:val="NoSpacing"/>
              <w:spacing w:before="280"/>
              <w:jc w:val="right"/>
              <w:rPr>
                <w:b/>
              </w:rPr>
            </w:pPr>
          </w:p>
        </w:tc>
        <w:tc>
          <w:tcPr>
            <w:tcW w:w="1474" w:type="dxa"/>
            <w:tcBorders>
              <w:top w:val="nil"/>
            </w:tcBorders>
            <w:shd w:val="clear" w:color="auto" w:fill="auto"/>
            <w:vAlign w:val="bottom"/>
          </w:tcPr>
          <w:p w14:paraId="0BECD3AA" w14:textId="24075586" w:rsidR="00CF6E24" w:rsidRDefault="00CF6E24" w:rsidP="0014061A">
            <w:pPr>
              <w:pStyle w:val="NoSpacing"/>
              <w:spacing w:before="280"/>
              <w:jc w:val="right"/>
              <w:rPr>
                <w:b/>
              </w:rPr>
            </w:pPr>
            <w:r>
              <w:rPr>
                <w:b/>
              </w:rPr>
              <w:t>Case definition</w:t>
            </w:r>
          </w:p>
        </w:tc>
        <w:tc>
          <w:tcPr>
            <w:tcW w:w="3568" w:type="dxa"/>
            <w:gridSpan w:val="5"/>
            <w:tcBorders>
              <w:top w:val="nil"/>
            </w:tcBorders>
            <w:shd w:val="clear" w:color="auto" w:fill="auto"/>
            <w:vAlign w:val="bottom"/>
          </w:tcPr>
          <w:p w14:paraId="4635AADB" w14:textId="4868C720" w:rsidR="00CF6E24" w:rsidRDefault="00CF6E24" w:rsidP="0014061A">
            <w:pPr>
              <w:pStyle w:val="NoSpacing"/>
              <w:spacing w:before="280"/>
              <w:jc w:val="center"/>
              <w:rPr>
                <w:b/>
              </w:rPr>
            </w:pPr>
            <w:r>
              <w:rPr>
                <w:b/>
              </w:rPr>
              <w:t>Codes</w:t>
            </w:r>
          </w:p>
        </w:tc>
      </w:tr>
      <w:tr w:rsidR="004F3404" w14:paraId="40BE59A4" w14:textId="77777777" w:rsidTr="00D04965">
        <w:trPr>
          <w:trHeight w:val="229"/>
          <w:tblHeader/>
        </w:trPr>
        <w:tc>
          <w:tcPr>
            <w:tcW w:w="2494" w:type="dxa"/>
            <w:tcBorders>
              <w:top w:val="nil"/>
            </w:tcBorders>
            <w:shd w:val="clear" w:color="auto" w:fill="auto"/>
          </w:tcPr>
          <w:p w14:paraId="453DD88A" w14:textId="77777777" w:rsidR="00674B6B" w:rsidRDefault="00B10E7A" w:rsidP="0014061A">
            <w:pPr>
              <w:pStyle w:val="NoSpacing"/>
              <w:spacing w:before="280"/>
              <w:rPr>
                <w:b/>
              </w:rPr>
            </w:pPr>
            <w:r>
              <w:rPr>
                <w:b/>
              </w:rPr>
              <w:t>Event</w:t>
            </w:r>
          </w:p>
        </w:tc>
        <w:tc>
          <w:tcPr>
            <w:tcW w:w="1474" w:type="dxa"/>
            <w:tcBorders>
              <w:top w:val="nil"/>
            </w:tcBorders>
            <w:shd w:val="clear" w:color="auto" w:fill="auto"/>
          </w:tcPr>
          <w:p w14:paraId="70A8F3FB" w14:textId="77777777" w:rsidR="00674B6B" w:rsidRDefault="00B10E7A" w:rsidP="0014061A">
            <w:pPr>
              <w:pStyle w:val="NoSpacing"/>
              <w:spacing w:before="280"/>
              <w:jc w:val="right"/>
              <w:rPr>
                <w:b/>
              </w:rPr>
            </w:pPr>
            <w:r>
              <w:rPr>
                <w:b/>
              </w:rPr>
              <w:t>(word count)</w:t>
            </w:r>
          </w:p>
        </w:tc>
        <w:tc>
          <w:tcPr>
            <w:tcW w:w="888" w:type="dxa"/>
            <w:tcBorders>
              <w:top w:val="nil"/>
            </w:tcBorders>
            <w:shd w:val="clear" w:color="auto" w:fill="auto"/>
          </w:tcPr>
          <w:p w14:paraId="1CA4D9D3" w14:textId="77777777" w:rsidR="00674B6B" w:rsidRDefault="00B10E7A" w:rsidP="0014061A">
            <w:pPr>
              <w:pStyle w:val="NoSpacing"/>
              <w:spacing w:before="280"/>
              <w:jc w:val="right"/>
              <w:rPr>
                <w:b/>
              </w:rPr>
            </w:pPr>
            <w:r>
              <w:rPr>
                <w:b/>
              </w:rPr>
              <w:t>ICD-9</w:t>
            </w:r>
          </w:p>
        </w:tc>
        <w:tc>
          <w:tcPr>
            <w:tcW w:w="939" w:type="dxa"/>
            <w:tcBorders>
              <w:top w:val="nil"/>
            </w:tcBorders>
            <w:shd w:val="clear" w:color="auto" w:fill="auto"/>
          </w:tcPr>
          <w:p w14:paraId="7B452E05" w14:textId="77777777" w:rsidR="00674B6B" w:rsidRDefault="00B10E7A" w:rsidP="0014061A">
            <w:pPr>
              <w:pStyle w:val="NoSpacing"/>
              <w:spacing w:before="280"/>
              <w:jc w:val="right"/>
              <w:rPr>
                <w:b/>
              </w:rPr>
            </w:pPr>
            <w:r>
              <w:rPr>
                <w:b/>
              </w:rPr>
              <w:t>ICD-10</w:t>
            </w:r>
          </w:p>
        </w:tc>
        <w:tc>
          <w:tcPr>
            <w:tcW w:w="907" w:type="dxa"/>
            <w:tcBorders>
              <w:top w:val="nil"/>
            </w:tcBorders>
            <w:shd w:val="clear" w:color="auto" w:fill="auto"/>
          </w:tcPr>
          <w:p w14:paraId="280362C4" w14:textId="77777777" w:rsidR="00674B6B" w:rsidRDefault="00B10E7A" w:rsidP="0014061A">
            <w:pPr>
              <w:pStyle w:val="NoSpacing"/>
              <w:spacing w:before="280"/>
              <w:jc w:val="right"/>
              <w:rPr>
                <w:b/>
              </w:rPr>
            </w:pPr>
            <w:r>
              <w:rPr>
                <w:b/>
              </w:rPr>
              <w:t>ICPC-2</w:t>
            </w:r>
            <w:r>
              <w:rPr>
                <w:b/>
                <w:vertAlign w:val="superscript"/>
              </w:rPr>
              <w:t>a)</w:t>
            </w:r>
          </w:p>
        </w:tc>
        <w:tc>
          <w:tcPr>
            <w:tcW w:w="910" w:type="dxa"/>
            <w:gridSpan w:val="3"/>
            <w:tcBorders>
              <w:top w:val="nil"/>
            </w:tcBorders>
            <w:shd w:val="clear" w:color="auto" w:fill="auto"/>
          </w:tcPr>
          <w:p w14:paraId="24F0B0E0" w14:textId="77777777" w:rsidR="00674B6B" w:rsidRDefault="00B10E7A" w:rsidP="0014061A">
            <w:pPr>
              <w:pStyle w:val="NoSpacing"/>
              <w:spacing w:before="280"/>
              <w:jc w:val="right"/>
              <w:rPr>
                <w:b/>
              </w:rPr>
            </w:pPr>
            <w:r>
              <w:rPr>
                <w:b/>
              </w:rPr>
              <w:t>READ-2</w:t>
            </w:r>
          </w:p>
        </w:tc>
      </w:tr>
      <w:tr w:rsidR="004F3404" w14:paraId="29EA7289" w14:textId="77777777" w:rsidTr="00D04965">
        <w:trPr>
          <w:trHeight w:val="353"/>
          <w:tblHeader/>
        </w:trPr>
        <w:tc>
          <w:tcPr>
            <w:tcW w:w="2494" w:type="dxa"/>
            <w:tcBorders>
              <w:top w:val="nil"/>
              <w:bottom w:val="nil"/>
            </w:tcBorders>
            <w:shd w:val="clear" w:color="auto" w:fill="auto"/>
            <w:vAlign w:val="bottom"/>
          </w:tcPr>
          <w:p w14:paraId="6181C15E" w14:textId="168307B1" w:rsidR="00674B6B" w:rsidRDefault="00B10E7A" w:rsidP="0004007D">
            <w:pPr>
              <w:pStyle w:val="NoSpacing"/>
              <w:spacing w:before="280"/>
            </w:pPr>
            <w:r>
              <w:t xml:space="preserve">Acute </w:t>
            </w:r>
            <w:r w:rsidR="0004007D">
              <w:t>p</w:t>
            </w:r>
            <w:r>
              <w:t>ancreatitis</w:t>
            </w:r>
          </w:p>
        </w:tc>
        <w:tc>
          <w:tcPr>
            <w:tcW w:w="1474" w:type="dxa"/>
            <w:tcBorders>
              <w:top w:val="nil"/>
              <w:bottom w:val="nil"/>
            </w:tcBorders>
            <w:shd w:val="clear" w:color="auto" w:fill="auto"/>
            <w:vAlign w:val="bottom"/>
          </w:tcPr>
          <w:p w14:paraId="49E4165A" w14:textId="77777777" w:rsidR="00674B6B" w:rsidRDefault="00B10E7A">
            <w:pPr>
              <w:pStyle w:val="NoSpacing"/>
              <w:spacing w:before="280"/>
              <w:jc w:val="right"/>
            </w:pPr>
            <w:r>
              <w:t>49</w:t>
            </w:r>
          </w:p>
        </w:tc>
        <w:tc>
          <w:tcPr>
            <w:tcW w:w="888" w:type="dxa"/>
            <w:tcBorders>
              <w:top w:val="nil"/>
              <w:bottom w:val="nil"/>
            </w:tcBorders>
            <w:shd w:val="clear" w:color="auto" w:fill="auto"/>
            <w:vAlign w:val="bottom"/>
          </w:tcPr>
          <w:p w14:paraId="4E3A676A" w14:textId="77777777" w:rsidR="00674B6B" w:rsidRDefault="00B10E7A">
            <w:pPr>
              <w:pStyle w:val="NoSpacing"/>
              <w:spacing w:before="280"/>
              <w:jc w:val="right"/>
            </w:pPr>
            <w:r>
              <w:t>1 (0)</w:t>
            </w:r>
          </w:p>
        </w:tc>
        <w:tc>
          <w:tcPr>
            <w:tcW w:w="939" w:type="dxa"/>
            <w:tcBorders>
              <w:top w:val="nil"/>
              <w:bottom w:val="nil"/>
            </w:tcBorders>
            <w:shd w:val="clear" w:color="auto" w:fill="auto"/>
            <w:vAlign w:val="bottom"/>
          </w:tcPr>
          <w:p w14:paraId="319E3CDA" w14:textId="77777777" w:rsidR="00674B6B" w:rsidRDefault="00B10E7A">
            <w:pPr>
              <w:pStyle w:val="NoSpacing"/>
              <w:spacing w:before="280"/>
              <w:jc w:val="right"/>
            </w:pPr>
            <w:r>
              <w:t>6 (0)</w:t>
            </w:r>
          </w:p>
        </w:tc>
        <w:tc>
          <w:tcPr>
            <w:tcW w:w="907" w:type="dxa"/>
            <w:tcBorders>
              <w:top w:val="nil"/>
              <w:bottom w:val="nil"/>
            </w:tcBorders>
            <w:shd w:val="clear" w:color="auto" w:fill="auto"/>
            <w:vAlign w:val="bottom"/>
          </w:tcPr>
          <w:p w14:paraId="1E914DE4" w14:textId="77777777" w:rsidR="00674B6B" w:rsidRDefault="00B10E7A">
            <w:pPr>
              <w:pStyle w:val="NoSpacing"/>
              <w:spacing w:before="280"/>
              <w:jc w:val="right"/>
            </w:pPr>
            <w:r>
              <w:t>1 (0)</w:t>
            </w:r>
          </w:p>
        </w:tc>
        <w:tc>
          <w:tcPr>
            <w:tcW w:w="910" w:type="dxa"/>
            <w:gridSpan w:val="3"/>
            <w:tcBorders>
              <w:top w:val="nil"/>
              <w:bottom w:val="nil"/>
            </w:tcBorders>
            <w:shd w:val="clear" w:color="auto" w:fill="auto"/>
            <w:vAlign w:val="bottom"/>
          </w:tcPr>
          <w:p w14:paraId="4765DD5F" w14:textId="77777777" w:rsidR="00674B6B" w:rsidRDefault="00B10E7A">
            <w:pPr>
              <w:pStyle w:val="NoSpacing"/>
              <w:spacing w:before="280"/>
              <w:jc w:val="right"/>
            </w:pPr>
            <w:r>
              <w:t>7 (0)</w:t>
            </w:r>
          </w:p>
        </w:tc>
      </w:tr>
      <w:tr w:rsidR="004F3404" w14:paraId="4443B21A" w14:textId="77777777" w:rsidTr="00D04965">
        <w:trPr>
          <w:trHeight w:val="20"/>
          <w:tblHeader/>
        </w:trPr>
        <w:tc>
          <w:tcPr>
            <w:tcW w:w="2494" w:type="dxa"/>
            <w:tcBorders>
              <w:top w:val="nil"/>
              <w:bottom w:val="nil"/>
            </w:tcBorders>
            <w:shd w:val="clear" w:color="auto" w:fill="auto"/>
            <w:vAlign w:val="bottom"/>
          </w:tcPr>
          <w:p w14:paraId="2238B043" w14:textId="77777777" w:rsidR="00674B6B" w:rsidRDefault="00B10E7A">
            <w:pPr>
              <w:pStyle w:val="NoSpacing"/>
              <w:spacing w:before="280"/>
            </w:pPr>
            <w:r>
              <w:t>Bladder cancer</w:t>
            </w:r>
          </w:p>
        </w:tc>
        <w:tc>
          <w:tcPr>
            <w:tcW w:w="1474" w:type="dxa"/>
            <w:tcBorders>
              <w:top w:val="nil"/>
              <w:bottom w:val="nil"/>
            </w:tcBorders>
            <w:shd w:val="clear" w:color="auto" w:fill="auto"/>
            <w:vAlign w:val="bottom"/>
          </w:tcPr>
          <w:p w14:paraId="73CEC08B" w14:textId="77777777" w:rsidR="00674B6B" w:rsidRDefault="00B10E7A">
            <w:pPr>
              <w:pStyle w:val="NoSpacing"/>
              <w:spacing w:before="280"/>
              <w:jc w:val="right"/>
            </w:pPr>
            <w:r>
              <w:t>87</w:t>
            </w:r>
          </w:p>
        </w:tc>
        <w:tc>
          <w:tcPr>
            <w:tcW w:w="888" w:type="dxa"/>
            <w:tcBorders>
              <w:top w:val="nil"/>
              <w:bottom w:val="nil"/>
            </w:tcBorders>
            <w:shd w:val="clear" w:color="auto" w:fill="auto"/>
            <w:vAlign w:val="bottom"/>
          </w:tcPr>
          <w:p w14:paraId="5DBD9C44" w14:textId="77777777" w:rsidR="00674B6B" w:rsidRDefault="00B10E7A">
            <w:pPr>
              <w:pStyle w:val="NoSpacing"/>
              <w:spacing w:before="280"/>
              <w:jc w:val="right"/>
            </w:pPr>
            <w:r>
              <w:t>12 (0)</w:t>
            </w:r>
          </w:p>
        </w:tc>
        <w:tc>
          <w:tcPr>
            <w:tcW w:w="939" w:type="dxa"/>
            <w:tcBorders>
              <w:top w:val="nil"/>
              <w:bottom w:val="nil"/>
            </w:tcBorders>
            <w:shd w:val="clear" w:color="auto" w:fill="auto"/>
            <w:vAlign w:val="bottom"/>
          </w:tcPr>
          <w:p w14:paraId="4E20BBA3" w14:textId="77777777" w:rsidR="00674B6B" w:rsidRDefault="00B10E7A">
            <w:pPr>
              <w:pStyle w:val="NoSpacing"/>
              <w:spacing w:before="280"/>
              <w:jc w:val="right"/>
            </w:pPr>
            <w:r>
              <w:t>12 (0)</w:t>
            </w:r>
          </w:p>
        </w:tc>
        <w:tc>
          <w:tcPr>
            <w:tcW w:w="907" w:type="dxa"/>
            <w:tcBorders>
              <w:top w:val="nil"/>
              <w:bottom w:val="nil"/>
            </w:tcBorders>
            <w:shd w:val="clear" w:color="auto" w:fill="auto"/>
            <w:vAlign w:val="bottom"/>
          </w:tcPr>
          <w:p w14:paraId="58CB3B5F" w14:textId="77777777" w:rsidR="00674B6B" w:rsidRDefault="00B10E7A">
            <w:pPr>
              <w:pStyle w:val="NoSpacing"/>
              <w:spacing w:before="280"/>
              <w:jc w:val="right"/>
            </w:pPr>
            <w:r>
              <w:t>1 (3)</w:t>
            </w:r>
          </w:p>
        </w:tc>
        <w:tc>
          <w:tcPr>
            <w:tcW w:w="910" w:type="dxa"/>
            <w:gridSpan w:val="3"/>
            <w:tcBorders>
              <w:top w:val="nil"/>
              <w:bottom w:val="nil"/>
            </w:tcBorders>
            <w:shd w:val="clear" w:color="auto" w:fill="auto"/>
            <w:vAlign w:val="bottom"/>
          </w:tcPr>
          <w:p w14:paraId="07B19F94" w14:textId="77777777" w:rsidR="00674B6B" w:rsidRDefault="00B10E7A">
            <w:pPr>
              <w:pStyle w:val="NoSpacing"/>
              <w:spacing w:before="280"/>
              <w:jc w:val="right"/>
            </w:pPr>
            <w:r>
              <w:t>91 (0)</w:t>
            </w:r>
          </w:p>
        </w:tc>
      </w:tr>
      <w:tr w:rsidR="004F3404" w14:paraId="2BC16E01" w14:textId="77777777" w:rsidTr="00D04965">
        <w:trPr>
          <w:trHeight w:val="20"/>
          <w:tblHeader/>
        </w:trPr>
        <w:tc>
          <w:tcPr>
            <w:tcW w:w="2494" w:type="dxa"/>
            <w:tcBorders>
              <w:top w:val="nil"/>
              <w:bottom w:val="nil"/>
            </w:tcBorders>
            <w:shd w:val="clear" w:color="auto" w:fill="auto"/>
            <w:vAlign w:val="bottom"/>
          </w:tcPr>
          <w:p w14:paraId="74147844" w14:textId="77777777" w:rsidR="00674B6B" w:rsidRDefault="00DB1863">
            <w:pPr>
              <w:pStyle w:val="NoSpacing"/>
              <w:spacing w:before="280"/>
            </w:pPr>
            <w:r>
              <w:t>Hemorrhagic</w:t>
            </w:r>
            <w:r w:rsidR="00B10E7A">
              <w:t xml:space="preserve"> stroke</w:t>
            </w:r>
          </w:p>
        </w:tc>
        <w:tc>
          <w:tcPr>
            <w:tcW w:w="1474" w:type="dxa"/>
            <w:tcBorders>
              <w:top w:val="nil"/>
              <w:bottom w:val="nil"/>
            </w:tcBorders>
            <w:shd w:val="clear" w:color="auto" w:fill="auto"/>
            <w:vAlign w:val="bottom"/>
          </w:tcPr>
          <w:p w14:paraId="5056CD53" w14:textId="77777777" w:rsidR="00674B6B" w:rsidRDefault="00B10E7A">
            <w:pPr>
              <w:pStyle w:val="NoSpacing"/>
              <w:spacing w:before="280"/>
              <w:jc w:val="right"/>
            </w:pPr>
            <w:r>
              <w:t>48</w:t>
            </w:r>
          </w:p>
        </w:tc>
        <w:tc>
          <w:tcPr>
            <w:tcW w:w="888" w:type="dxa"/>
            <w:tcBorders>
              <w:top w:val="nil"/>
              <w:bottom w:val="nil"/>
            </w:tcBorders>
            <w:shd w:val="clear" w:color="auto" w:fill="auto"/>
            <w:vAlign w:val="bottom"/>
          </w:tcPr>
          <w:p w14:paraId="2D0FD679" w14:textId="77777777" w:rsidR="00674B6B" w:rsidRDefault="00B10E7A">
            <w:pPr>
              <w:pStyle w:val="NoSpacing"/>
              <w:spacing w:before="280"/>
              <w:jc w:val="right"/>
            </w:pPr>
            <w:r>
              <w:t>3 (2)</w:t>
            </w:r>
          </w:p>
        </w:tc>
        <w:tc>
          <w:tcPr>
            <w:tcW w:w="939" w:type="dxa"/>
            <w:tcBorders>
              <w:top w:val="nil"/>
              <w:bottom w:val="nil"/>
            </w:tcBorders>
            <w:shd w:val="clear" w:color="auto" w:fill="auto"/>
            <w:vAlign w:val="bottom"/>
          </w:tcPr>
          <w:p w14:paraId="53A3BA52" w14:textId="77777777" w:rsidR="00674B6B" w:rsidRDefault="00B10E7A">
            <w:pPr>
              <w:pStyle w:val="NoSpacing"/>
              <w:spacing w:before="280"/>
              <w:jc w:val="right"/>
            </w:pPr>
            <w:r>
              <w:t>22 (2)</w:t>
            </w:r>
          </w:p>
        </w:tc>
        <w:tc>
          <w:tcPr>
            <w:tcW w:w="907" w:type="dxa"/>
            <w:tcBorders>
              <w:top w:val="nil"/>
              <w:bottom w:val="nil"/>
            </w:tcBorders>
            <w:shd w:val="clear" w:color="auto" w:fill="auto"/>
            <w:vAlign w:val="bottom"/>
          </w:tcPr>
          <w:p w14:paraId="4B2FB7E0" w14:textId="77777777" w:rsidR="00674B6B" w:rsidRDefault="00B10E7A">
            <w:pPr>
              <w:pStyle w:val="NoSpacing"/>
              <w:spacing w:before="280"/>
              <w:jc w:val="right"/>
            </w:pPr>
            <w:r>
              <w:t>1 (2)</w:t>
            </w:r>
          </w:p>
        </w:tc>
        <w:tc>
          <w:tcPr>
            <w:tcW w:w="910" w:type="dxa"/>
            <w:gridSpan w:val="3"/>
            <w:tcBorders>
              <w:top w:val="nil"/>
              <w:bottom w:val="nil"/>
            </w:tcBorders>
            <w:shd w:val="clear" w:color="auto" w:fill="auto"/>
            <w:vAlign w:val="bottom"/>
          </w:tcPr>
          <w:p w14:paraId="00ADEF49" w14:textId="77777777" w:rsidR="00674B6B" w:rsidRDefault="00B10E7A">
            <w:pPr>
              <w:pStyle w:val="NoSpacing"/>
              <w:spacing w:before="280"/>
              <w:jc w:val="right"/>
            </w:pPr>
            <w:r>
              <w:t>36 (0)</w:t>
            </w:r>
          </w:p>
        </w:tc>
      </w:tr>
      <w:tr w:rsidR="004F3404" w14:paraId="3855DC1E" w14:textId="77777777" w:rsidTr="00D04965">
        <w:trPr>
          <w:trHeight w:val="20"/>
          <w:tblHeader/>
        </w:trPr>
        <w:tc>
          <w:tcPr>
            <w:tcW w:w="2494" w:type="dxa"/>
            <w:tcBorders>
              <w:top w:val="nil"/>
              <w:bottom w:val="nil"/>
            </w:tcBorders>
            <w:shd w:val="clear" w:color="auto" w:fill="auto"/>
            <w:vAlign w:val="bottom"/>
          </w:tcPr>
          <w:p w14:paraId="36A5F5D4" w14:textId="77777777" w:rsidR="00674B6B" w:rsidRDefault="00B10E7A">
            <w:pPr>
              <w:pStyle w:val="NoSpacing"/>
              <w:spacing w:before="280"/>
            </w:pPr>
            <w:r>
              <w:t>Ischemic stroke</w:t>
            </w:r>
          </w:p>
        </w:tc>
        <w:tc>
          <w:tcPr>
            <w:tcW w:w="1474" w:type="dxa"/>
            <w:tcBorders>
              <w:top w:val="nil"/>
              <w:bottom w:val="nil"/>
            </w:tcBorders>
            <w:shd w:val="clear" w:color="auto" w:fill="auto"/>
            <w:vAlign w:val="bottom"/>
          </w:tcPr>
          <w:p w14:paraId="17D4A6B7" w14:textId="77777777" w:rsidR="00674B6B" w:rsidRDefault="00B10E7A">
            <w:pPr>
              <w:pStyle w:val="NoSpacing"/>
              <w:spacing w:before="280"/>
              <w:jc w:val="right"/>
            </w:pPr>
            <w:r>
              <w:t>53</w:t>
            </w:r>
          </w:p>
        </w:tc>
        <w:tc>
          <w:tcPr>
            <w:tcW w:w="888" w:type="dxa"/>
            <w:tcBorders>
              <w:top w:val="nil"/>
              <w:bottom w:val="nil"/>
            </w:tcBorders>
            <w:shd w:val="clear" w:color="auto" w:fill="auto"/>
            <w:vAlign w:val="bottom"/>
          </w:tcPr>
          <w:p w14:paraId="540C6A6F" w14:textId="77777777" w:rsidR="00674B6B" w:rsidRDefault="00B10E7A">
            <w:pPr>
              <w:pStyle w:val="NoSpacing"/>
              <w:spacing w:before="280"/>
              <w:jc w:val="right"/>
            </w:pPr>
            <w:r>
              <w:t>10 (0)</w:t>
            </w:r>
          </w:p>
        </w:tc>
        <w:tc>
          <w:tcPr>
            <w:tcW w:w="939" w:type="dxa"/>
            <w:tcBorders>
              <w:top w:val="nil"/>
              <w:bottom w:val="nil"/>
            </w:tcBorders>
            <w:shd w:val="clear" w:color="auto" w:fill="auto"/>
            <w:vAlign w:val="bottom"/>
          </w:tcPr>
          <w:p w14:paraId="7B5C07C0" w14:textId="77777777" w:rsidR="00674B6B" w:rsidRDefault="00B10E7A">
            <w:pPr>
              <w:pStyle w:val="NoSpacing"/>
              <w:spacing w:before="280"/>
              <w:jc w:val="right"/>
            </w:pPr>
            <w:r>
              <w:t>11 (0)</w:t>
            </w:r>
          </w:p>
        </w:tc>
        <w:tc>
          <w:tcPr>
            <w:tcW w:w="907" w:type="dxa"/>
            <w:tcBorders>
              <w:top w:val="nil"/>
              <w:bottom w:val="nil"/>
            </w:tcBorders>
            <w:shd w:val="clear" w:color="auto" w:fill="auto"/>
            <w:vAlign w:val="bottom"/>
          </w:tcPr>
          <w:p w14:paraId="14A25261" w14:textId="77777777" w:rsidR="00674B6B" w:rsidRDefault="00B10E7A">
            <w:pPr>
              <w:pStyle w:val="NoSpacing"/>
              <w:spacing w:before="280"/>
              <w:jc w:val="right"/>
            </w:pPr>
            <w:r>
              <w:t>2 (1)</w:t>
            </w:r>
          </w:p>
        </w:tc>
        <w:tc>
          <w:tcPr>
            <w:tcW w:w="910" w:type="dxa"/>
            <w:gridSpan w:val="3"/>
            <w:tcBorders>
              <w:top w:val="nil"/>
              <w:bottom w:val="nil"/>
            </w:tcBorders>
            <w:shd w:val="clear" w:color="auto" w:fill="auto"/>
            <w:vAlign w:val="bottom"/>
          </w:tcPr>
          <w:p w14:paraId="323F1002" w14:textId="77777777" w:rsidR="00674B6B" w:rsidRDefault="00B10E7A">
            <w:pPr>
              <w:pStyle w:val="NoSpacing"/>
              <w:spacing w:before="280"/>
              <w:jc w:val="right"/>
            </w:pPr>
            <w:r>
              <w:t>20 (0)</w:t>
            </w:r>
          </w:p>
        </w:tc>
      </w:tr>
      <w:tr w:rsidR="004F3404" w14:paraId="00F6B473" w14:textId="77777777" w:rsidTr="00D04965">
        <w:trPr>
          <w:trHeight w:val="20"/>
          <w:tblHeader/>
        </w:trPr>
        <w:tc>
          <w:tcPr>
            <w:tcW w:w="2494" w:type="dxa"/>
            <w:tcBorders>
              <w:top w:val="nil"/>
              <w:bottom w:val="nil"/>
            </w:tcBorders>
            <w:shd w:val="clear" w:color="auto" w:fill="auto"/>
            <w:vAlign w:val="bottom"/>
          </w:tcPr>
          <w:p w14:paraId="50EA3800" w14:textId="6ECEC23C" w:rsidR="00674B6B" w:rsidRDefault="0004007D" w:rsidP="0004007D">
            <w:pPr>
              <w:pStyle w:val="NoSpacing"/>
              <w:spacing w:before="280"/>
            </w:pPr>
            <w:r>
              <w:t>Acute m</w:t>
            </w:r>
            <w:r w:rsidR="00B10E7A">
              <w:t xml:space="preserve">yocardial </w:t>
            </w:r>
            <w:r>
              <w:t>i</w:t>
            </w:r>
            <w:r w:rsidR="00B10E7A">
              <w:t>nfarction</w:t>
            </w:r>
          </w:p>
        </w:tc>
        <w:tc>
          <w:tcPr>
            <w:tcW w:w="1474" w:type="dxa"/>
            <w:tcBorders>
              <w:top w:val="nil"/>
              <w:bottom w:val="nil"/>
            </w:tcBorders>
            <w:shd w:val="clear" w:color="auto" w:fill="auto"/>
            <w:vAlign w:val="bottom"/>
          </w:tcPr>
          <w:p w14:paraId="44732E51" w14:textId="77777777" w:rsidR="00674B6B" w:rsidRDefault="00B10E7A">
            <w:pPr>
              <w:pStyle w:val="NoSpacing"/>
              <w:spacing w:before="280"/>
              <w:jc w:val="right"/>
            </w:pPr>
            <w:r>
              <w:t>39</w:t>
            </w:r>
          </w:p>
        </w:tc>
        <w:tc>
          <w:tcPr>
            <w:tcW w:w="888" w:type="dxa"/>
            <w:tcBorders>
              <w:top w:val="nil"/>
              <w:bottom w:val="nil"/>
            </w:tcBorders>
            <w:shd w:val="clear" w:color="auto" w:fill="auto"/>
            <w:vAlign w:val="bottom"/>
          </w:tcPr>
          <w:p w14:paraId="11C4BCDC" w14:textId="77777777" w:rsidR="00674B6B" w:rsidRDefault="00B10E7A">
            <w:pPr>
              <w:pStyle w:val="NoSpacing"/>
              <w:spacing w:before="280"/>
              <w:jc w:val="right"/>
            </w:pPr>
            <w:r>
              <w:t>11 (1)</w:t>
            </w:r>
          </w:p>
        </w:tc>
        <w:tc>
          <w:tcPr>
            <w:tcW w:w="939" w:type="dxa"/>
            <w:tcBorders>
              <w:top w:val="nil"/>
              <w:bottom w:val="nil"/>
            </w:tcBorders>
            <w:shd w:val="clear" w:color="auto" w:fill="auto"/>
            <w:vAlign w:val="bottom"/>
          </w:tcPr>
          <w:p w14:paraId="438DF8D2" w14:textId="77777777" w:rsidR="00674B6B" w:rsidRDefault="00B10E7A">
            <w:pPr>
              <w:pStyle w:val="NoSpacing"/>
              <w:spacing w:before="280"/>
              <w:jc w:val="right"/>
            </w:pPr>
            <w:r>
              <w:t>7 (0)</w:t>
            </w:r>
          </w:p>
        </w:tc>
        <w:tc>
          <w:tcPr>
            <w:tcW w:w="907" w:type="dxa"/>
            <w:tcBorders>
              <w:top w:val="nil"/>
              <w:bottom w:val="nil"/>
            </w:tcBorders>
            <w:shd w:val="clear" w:color="auto" w:fill="auto"/>
            <w:vAlign w:val="bottom"/>
          </w:tcPr>
          <w:p w14:paraId="388F7345" w14:textId="77777777" w:rsidR="00674B6B" w:rsidRDefault="00B10E7A">
            <w:pPr>
              <w:pStyle w:val="NoSpacing"/>
              <w:spacing w:before="280"/>
              <w:jc w:val="right"/>
            </w:pPr>
            <w:r>
              <w:t>1 (6)</w:t>
            </w:r>
          </w:p>
        </w:tc>
        <w:tc>
          <w:tcPr>
            <w:tcW w:w="910" w:type="dxa"/>
            <w:gridSpan w:val="3"/>
            <w:tcBorders>
              <w:top w:val="nil"/>
              <w:bottom w:val="nil"/>
            </w:tcBorders>
            <w:shd w:val="clear" w:color="auto" w:fill="auto"/>
            <w:vAlign w:val="bottom"/>
          </w:tcPr>
          <w:p w14:paraId="7245F5E1" w14:textId="77777777" w:rsidR="00674B6B" w:rsidRDefault="00B10E7A">
            <w:pPr>
              <w:pStyle w:val="NoSpacing"/>
              <w:spacing w:before="280"/>
              <w:jc w:val="right"/>
            </w:pPr>
            <w:r>
              <w:t>-</w:t>
            </w:r>
            <w:r>
              <w:rPr>
                <w:vertAlign w:val="superscript"/>
              </w:rPr>
              <w:t>b)</w:t>
            </w:r>
          </w:p>
        </w:tc>
      </w:tr>
      <w:tr w:rsidR="004F3404" w14:paraId="36BC4908" w14:textId="77777777" w:rsidTr="00D04965">
        <w:trPr>
          <w:trHeight w:val="20"/>
          <w:tblHeader/>
        </w:trPr>
        <w:tc>
          <w:tcPr>
            <w:tcW w:w="2494" w:type="dxa"/>
            <w:tcBorders>
              <w:top w:val="nil"/>
              <w:bottom w:val="nil"/>
            </w:tcBorders>
            <w:shd w:val="clear" w:color="auto" w:fill="auto"/>
            <w:vAlign w:val="bottom"/>
          </w:tcPr>
          <w:p w14:paraId="13754F0F" w14:textId="0CFE75C1" w:rsidR="00674B6B" w:rsidRDefault="00B10E7A" w:rsidP="0004007D">
            <w:pPr>
              <w:pStyle w:val="NoSpacing"/>
              <w:spacing w:before="280"/>
            </w:pPr>
            <w:r>
              <w:t xml:space="preserve">Pancreatic </w:t>
            </w:r>
            <w:r w:rsidR="0004007D">
              <w:t>c</w:t>
            </w:r>
            <w:r>
              <w:t>ancer</w:t>
            </w:r>
          </w:p>
        </w:tc>
        <w:tc>
          <w:tcPr>
            <w:tcW w:w="1474" w:type="dxa"/>
            <w:tcBorders>
              <w:top w:val="nil"/>
              <w:bottom w:val="nil"/>
            </w:tcBorders>
            <w:shd w:val="clear" w:color="auto" w:fill="auto"/>
            <w:vAlign w:val="bottom"/>
          </w:tcPr>
          <w:p w14:paraId="1666BD88" w14:textId="77777777" w:rsidR="00674B6B" w:rsidRDefault="00B10E7A">
            <w:pPr>
              <w:pStyle w:val="NoSpacing"/>
              <w:spacing w:before="280"/>
              <w:jc w:val="right"/>
            </w:pPr>
            <w:r>
              <w:t>19</w:t>
            </w:r>
          </w:p>
        </w:tc>
        <w:tc>
          <w:tcPr>
            <w:tcW w:w="888" w:type="dxa"/>
            <w:tcBorders>
              <w:top w:val="nil"/>
              <w:bottom w:val="nil"/>
            </w:tcBorders>
            <w:shd w:val="clear" w:color="auto" w:fill="auto"/>
            <w:vAlign w:val="bottom"/>
          </w:tcPr>
          <w:p w14:paraId="7E81C988" w14:textId="77777777" w:rsidR="00674B6B" w:rsidRDefault="00B10E7A">
            <w:pPr>
              <w:pStyle w:val="NoSpacing"/>
              <w:spacing w:before="280"/>
              <w:jc w:val="right"/>
            </w:pPr>
            <w:r>
              <w:t>8 (0)</w:t>
            </w:r>
          </w:p>
        </w:tc>
        <w:tc>
          <w:tcPr>
            <w:tcW w:w="939" w:type="dxa"/>
            <w:tcBorders>
              <w:top w:val="nil"/>
              <w:bottom w:val="nil"/>
            </w:tcBorders>
            <w:shd w:val="clear" w:color="auto" w:fill="auto"/>
            <w:vAlign w:val="bottom"/>
          </w:tcPr>
          <w:p w14:paraId="541D54AA" w14:textId="77777777" w:rsidR="00674B6B" w:rsidRDefault="00B10E7A">
            <w:pPr>
              <w:pStyle w:val="NoSpacing"/>
              <w:spacing w:before="280"/>
              <w:jc w:val="right"/>
            </w:pPr>
            <w:r>
              <w:t>9 (0)</w:t>
            </w:r>
          </w:p>
        </w:tc>
        <w:tc>
          <w:tcPr>
            <w:tcW w:w="907" w:type="dxa"/>
            <w:tcBorders>
              <w:top w:val="nil"/>
              <w:bottom w:val="nil"/>
            </w:tcBorders>
            <w:shd w:val="clear" w:color="auto" w:fill="auto"/>
            <w:vAlign w:val="bottom"/>
          </w:tcPr>
          <w:p w14:paraId="0445CF5C" w14:textId="77777777" w:rsidR="00674B6B" w:rsidRDefault="00B10E7A">
            <w:pPr>
              <w:pStyle w:val="NoSpacing"/>
              <w:spacing w:before="280"/>
              <w:jc w:val="right"/>
            </w:pPr>
            <w:r>
              <w:t>1 (1)</w:t>
            </w:r>
          </w:p>
        </w:tc>
        <w:tc>
          <w:tcPr>
            <w:tcW w:w="910" w:type="dxa"/>
            <w:gridSpan w:val="3"/>
            <w:tcBorders>
              <w:top w:val="nil"/>
              <w:bottom w:val="nil"/>
            </w:tcBorders>
            <w:shd w:val="clear" w:color="auto" w:fill="auto"/>
            <w:vAlign w:val="bottom"/>
          </w:tcPr>
          <w:p w14:paraId="0530A87C" w14:textId="77777777" w:rsidR="00674B6B" w:rsidRDefault="00B10E7A">
            <w:pPr>
              <w:pStyle w:val="NoSpacing"/>
              <w:spacing w:before="280"/>
              <w:jc w:val="right"/>
            </w:pPr>
            <w:r>
              <w:t>109 (0)</w:t>
            </w:r>
          </w:p>
        </w:tc>
      </w:tr>
      <w:tr w:rsidR="004F3404" w14:paraId="6509BDA8" w14:textId="77777777" w:rsidTr="00D04965">
        <w:trPr>
          <w:trHeight w:val="245"/>
          <w:tblHeader/>
        </w:trPr>
        <w:tc>
          <w:tcPr>
            <w:tcW w:w="2494" w:type="dxa"/>
            <w:tcBorders>
              <w:top w:val="nil"/>
              <w:bottom w:val="nil"/>
            </w:tcBorders>
            <w:shd w:val="clear" w:color="auto" w:fill="auto"/>
            <w:vAlign w:val="bottom"/>
          </w:tcPr>
          <w:p w14:paraId="704A8348" w14:textId="18F82DA1" w:rsidR="00674B6B" w:rsidRDefault="00B10E7A">
            <w:pPr>
              <w:pStyle w:val="NoSpacing"/>
              <w:spacing w:before="280"/>
            </w:pPr>
            <w:r>
              <w:t xml:space="preserve">Ventricular </w:t>
            </w:r>
            <w:r w:rsidR="0004007D">
              <w:t>a</w:t>
            </w:r>
            <w:r>
              <w:t>rrhythmia</w:t>
            </w:r>
          </w:p>
        </w:tc>
        <w:tc>
          <w:tcPr>
            <w:tcW w:w="1474" w:type="dxa"/>
            <w:tcBorders>
              <w:top w:val="nil"/>
              <w:bottom w:val="nil"/>
            </w:tcBorders>
            <w:shd w:val="clear" w:color="auto" w:fill="auto"/>
            <w:vAlign w:val="bottom"/>
          </w:tcPr>
          <w:p w14:paraId="759B5704" w14:textId="77777777" w:rsidR="00674B6B" w:rsidRDefault="00B10E7A">
            <w:pPr>
              <w:pStyle w:val="NoSpacing"/>
              <w:spacing w:before="280"/>
              <w:jc w:val="right"/>
            </w:pPr>
            <w:r>
              <w:t>234</w:t>
            </w:r>
          </w:p>
        </w:tc>
        <w:tc>
          <w:tcPr>
            <w:tcW w:w="888" w:type="dxa"/>
            <w:tcBorders>
              <w:top w:val="nil"/>
              <w:bottom w:val="nil"/>
            </w:tcBorders>
            <w:shd w:val="clear" w:color="auto" w:fill="auto"/>
            <w:vAlign w:val="bottom"/>
          </w:tcPr>
          <w:p w14:paraId="63662A04" w14:textId="77777777" w:rsidR="00674B6B" w:rsidRDefault="00B10E7A">
            <w:pPr>
              <w:pStyle w:val="NoSpacing"/>
              <w:spacing w:before="280"/>
              <w:jc w:val="right"/>
            </w:pPr>
            <w:r>
              <w:t>5 (0)</w:t>
            </w:r>
          </w:p>
        </w:tc>
        <w:tc>
          <w:tcPr>
            <w:tcW w:w="939" w:type="dxa"/>
            <w:tcBorders>
              <w:top w:val="nil"/>
              <w:bottom w:val="nil"/>
            </w:tcBorders>
            <w:shd w:val="clear" w:color="auto" w:fill="auto"/>
            <w:vAlign w:val="bottom"/>
          </w:tcPr>
          <w:p w14:paraId="6166B524" w14:textId="77777777" w:rsidR="00674B6B" w:rsidRDefault="00B10E7A">
            <w:pPr>
              <w:pStyle w:val="NoSpacing"/>
              <w:spacing w:before="280"/>
              <w:jc w:val="right"/>
            </w:pPr>
            <w:r>
              <w:t>5 (0)</w:t>
            </w:r>
          </w:p>
        </w:tc>
        <w:tc>
          <w:tcPr>
            <w:tcW w:w="907" w:type="dxa"/>
            <w:tcBorders>
              <w:top w:val="nil"/>
              <w:bottom w:val="nil"/>
            </w:tcBorders>
            <w:shd w:val="clear" w:color="auto" w:fill="auto"/>
            <w:vAlign w:val="bottom"/>
          </w:tcPr>
          <w:p w14:paraId="3C40102D" w14:textId="77777777" w:rsidR="00674B6B" w:rsidRDefault="00B10E7A">
            <w:pPr>
              <w:pStyle w:val="NoSpacing"/>
              <w:spacing w:before="280"/>
              <w:jc w:val="right"/>
            </w:pPr>
            <w:r>
              <w:t>1 (1)</w:t>
            </w:r>
          </w:p>
        </w:tc>
        <w:tc>
          <w:tcPr>
            <w:tcW w:w="910" w:type="dxa"/>
            <w:gridSpan w:val="3"/>
            <w:tcBorders>
              <w:top w:val="nil"/>
              <w:bottom w:val="nil"/>
            </w:tcBorders>
            <w:shd w:val="clear" w:color="auto" w:fill="auto"/>
            <w:vAlign w:val="bottom"/>
          </w:tcPr>
          <w:p w14:paraId="00B96FFC" w14:textId="77777777" w:rsidR="00674B6B" w:rsidRDefault="00B10E7A">
            <w:pPr>
              <w:pStyle w:val="NoSpacing"/>
              <w:spacing w:before="280"/>
              <w:jc w:val="right"/>
            </w:pPr>
            <w:r>
              <w:t>27 (0)</w:t>
            </w:r>
          </w:p>
        </w:tc>
      </w:tr>
      <w:tr w:rsidR="004F3404" w14:paraId="06192246" w14:textId="77777777" w:rsidTr="00D04965">
        <w:trPr>
          <w:trHeight w:val="354"/>
          <w:tblHeader/>
        </w:trPr>
        <w:tc>
          <w:tcPr>
            <w:tcW w:w="2494" w:type="dxa"/>
            <w:tcBorders>
              <w:top w:val="nil"/>
              <w:bottom w:val="nil"/>
            </w:tcBorders>
            <w:shd w:val="clear" w:color="auto" w:fill="auto"/>
            <w:vAlign w:val="bottom"/>
          </w:tcPr>
          <w:p w14:paraId="41BDCF31" w14:textId="77777777" w:rsidR="00674B6B" w:rsidRDefault="00B10E7A">
            <w:pPr>
              <w:pStyle w:val="NoSpacing"/>
              <w:spacing w:before="280"/>
            </w:pPr>
            <w:r>
              <w:t>Sum</w:t>
            </w:r>
          </w:p>
        </w:tc>
        <w:tc>
          <w:tcPr>
            <w:tcW w:w="1474" w:type="dxa"/>
            <w:tcBorders>
              <w:top w:val="nil"/>
              <w:bottom w:val="nil"/>
            </w:tcBorders>
            <w:shd w:val="clear" w:color="auto" w:fill="auto"/>
            <w:vAlign w:val="bottom"/>
          </w:tcPr>
          <w:p w14:paraId="29C26517" w14:textId="77777777" w:rsidR="00674B6B" w:rsidRDefault="00B10E7A">
            <w:pPr>
              <w:pStyle w:val="NoSpacing"/>
              <w:spacing w:before="280"/>
              <w:jc w:val="right"/>
            </w:pPr>
            <w:r>
              <w:t>529</w:t>
            </w:r>
          </w:p>
        </w:tc>
        <w:tc>
          <w:tcPr>
            <w:tcW w:w="888" w:type="dxa"/>
            <w:tcBorders>
              <w:top w:val="nil"/>
              <w:bottom w:val="nil"/>
            </w:tcBorders>
            <w:shd w:val="clear" w:color="auto" w:fill="auto"/>
            <w:vAlign w:val="bottom"/>
          </w:tcPr>
          <w:p w14:paraId="21ACF87A" w14:textId="77777777" w:rsidR="00674B6B" w:rsidRDefault="00B10E7A">
            <w:pPr>
              <w:pStyle w:val="NoSpacing"/>
              <w:spacing w:before="280"/>
              <w:jc w:val="right"/>
            </w:pPr>
            <w:r>
              <w:t>50 (3)</w:t>
            </w:r>
          </w:p>
        </w:tc>
        <w:tc>
          <w:tcPr>
            <w:tcW w:w="939" w:type="dxa"/>
            <w:tcBorders>
              <w:top w:val="nil"/>
              <w:bottom w:val="nil"/>
            </w:tcBorders>
            <w:shd w:val="clear" w:color="auto" w:fill="auto"/>
            <w:vAlign w:val="bottom"/>
          </w:tcPr>
          <w:p w14:paraId="03C520FD" w14:textId="77777777" w:rsidR="00674B6B" w:rsidRDefault="00B10E7A">
            <w:pPr>
              <w:pStyle w:val="NoSpacing"/>
              <w:spacing w:before="280"/>
              <w:jc w:val="right"/>
            </w:pPr>
            <w:r>
              <w:t>72 (2)</w:t>
            </w:r>
          </w:p>
        </w:tc>
        <w:tc>
          <w:tcPr>
            <w:tcW w:w="907" w:type="dxa"/>
            <w:tcBorders>
              <w:top w:val="nil"/>
              <w:bottom w:val="nil"/>
            </w:tcBorders>
            <w:shd w:val="clear" w:color="auto" w:fill="auto"/>
            <w:vAlign w:val="bottom"/>
          </w:tcPr>
          <w:p w14:paraId="3C8F3405" w14:textId="77777777" w:rsidR="00674B6B" w:rsidRDefault="00B10E7A">
            <w:pPr>
              <w:pStyle w:val="NoSpacing"/>
              <w:spacing w:before="280"/>
              <w:jc w:val="right"/>
            </w:pPr>
            <w:r>
              <w:t>8 (14)</w:t>
            </w:r>
          </w:p>
        </w:tc>
        <w:tc>
          <w:tcPr>
            <w:tcW w:w="910" w:type="dxa"/>
            <w:gridSpan w:val="3"/>
            <w:tcBorders>
              <w:top w:val="nil"/>
              <w:bottom w:val="nil"/>
            </w:tcBorders>
            <w:shd w:val="clear" w:color="auto" w:fill="auto"/>
            <w:vAlign w:val="bottom"/>
          </w:tcPr>
          <w:p w14:paraId="5CCB80CD" w14:textId="77777777" w:rsidR="00674B6B" w:rsidRDefault="00B10E7A">
            <w:pPr>
              <w:pStyle w:val="NoSpacing"/>
              <w:spacing w:before="280"/>
              <w:jc w:val="right"/>
            </w:pPr>
            <w:r>
              <w:t>290 (0)</w:t>
            </w:r>
          </w:p>
        </w:tc>
      </w:tr>
      <w:tr w:rsidR="004F3404" w14:paraId="02B03EBE" w14:textId="77777777" w:rsidTr="00D04965">
        <w:trPr>
          <w:trHeight w:val="20"/>
          <w:tblHeader/>
        </w:trPr>
        <w:tc>
          <w:tcPr>
            <w:tcW w:w="2494" w:type="dxa"/>
            <w:tcBorders>
              <w:top w:val="nil"/>
              <w:bottom w:val="nil"/>
            </w:tcBorders>
            <w:shd w:val="clear" w:color="auto" w:fill="auto"/>
            <w:vAlign w:val="bottom"/>
          </w:tcPr>
          <w:p w14:paraId="0D449D31" w14:textId="77777777" w:rsidR="00674B6B" w:rsidRDefault="00B10E7A">
            <w:pPr>
              <w:pStyle w:val="NoSpacing"/>
              <w:spacing w:before="280"/>
            </w:pPr>
            <w:r>
              <w:t>Average</w:t>
            </w:r>
          </w:p>
        </w:tc>
        <w:tc>
          <w:tcPr>
            <w:tcW w:w="1474" w:type="dxa"/>
            <w:tcBorders>
              <w:top w:val="nil"/>
              <w:bottom w:val="nil"/>
            </w:tcBorders>
            <w:shd w:val="clear" w:color="auto" w:fill="auto"/>
            <w:vAlign w:val="bottom"/>
          </w:tcPr>
          <w:p w14:paraId="1C4F1866" w14:textId="77777777" w:rsidR="00674B6B" w:rsidRDefault="00B10E7A">
            <w:pPr>
              <w:pStyle w:val="NoSpacing"/>
              <w:spacing w:before="280"/>
              <w:jc w:val="right"/>
            </w:pPr>
            <w:r>
              <w:t>75.57</w:t>
            </w:r>
          </w:p>
        </w:tc>
        <w:tc>
          <w:tcPr>
            <w:tcW w:w="888" w:type="dxa"/>
            <w:tcBorders>
              <w:top w:val="nil"/>
              <w:bottom w:val="nil"/>
            </w:tcBorders>
            <w:shd w:val="clear" w:color="auto" w:fill="auto"/>
            <w:vAlign w:val="bottom"/>
          </w:tcPr>
          <w:p w14:paraId="2167D25B" w14:textId="77777777" w:rsidR="00674B6B" w:rsidRDefault="00B10E7A">
            <w:pPr>
              <w:pStyle w:val="NoSpacing"/>
              <w:spacing w:before="280"/>
              <w:jc w:val="right"/>
            </w:pPr>
            <w:r>
              <w:t>7.14 (0.43)</w:t>
            </w:r>
          </w:p>
        </w:tc>
        <w:tc>
          <w:tcPr>
            <w:tcW w:w="939" w:type="dxa"/>
            <w:tcBorders>
              <w:top w:val="nil"/>
              <w:bottom w:val="nil"/>
            </w:tcBorders>
            <w:shd w:val="clear" w:color="auto" w:fill="auto"/>
            <w:vAlign w:val="bottom"/>
          </w:tcPr>
          <w:p w14:paraId="26FDA39C" w14:textId="77777777" w:rsidR="00674B6B" w:rsidRDefault="00B10E7A">
            <w:pPr>
              <w:pStyle w:val="NoSpacing"/>
              <w:spacing w:before="280"/>
              <w:jc w:val="right"/>
            </w:pPr>
            <w:r>
              <w:t>10.29 (0.29)</w:t>
            </w:r>
          </w:p>
        </w:tc>
        <w:tc>
          <w:tcPr>
            <w:tcW w:w="907" w:type="dxa"/>
            <w:tcBorders>
              <w:top w:val="nil"/>
              <w:bottom w:val="nil"/>
            </w:tcBorders>
            <w:shd w:val="clear" w:color="auto" w:fill="auto"/>
            <w:vAlign w:val="bottom"/>
          </w:tcPr>
          <w:p w14:paraId="6B7A5423" w14:textId="77777777" w:rsidR="00674B6B" w:rsidRDefault="00B10E7A">
            <w:pPr>
              <w:pStyle w:val="NoSpacing"/>
              <w:spacing w:before="280"/>
              <w:jc w:val="right"/>
            </w:pPr>
            <w:r>
              <w:t>1.14 (2.0)</w:t>
            </w:r>
          </w:p>
        </w:tc>
        <w:tc>
          <w:tcPr>
            <w:tcW w:w="910" w:type="dxa"/>
            <w:gridSpan w:val="3"/>
            <w:tcBorders>
              <w:top w:val="nil"/>
              <w:bottom w:val="nil"/>
            </w:tcBorders>
            <w:shd w:val="clear" w:color="auto" w:fill="auto"/>
            <w:vAlign w:val="bottom"/>
          </w:tcPr>
          <w:p w14:paraId="4EFAB2F5" w14:textId="77777777" w:rsidR="00674B6B" w:rsidRDefault="00B10E7A">
            <w:pPr>
              <w:pStyle w:val="NoSpacing"/>
              <w:spacing w:before="280"/>
              <w:jc w:val="right"/>
            </w:pPr>
            <w:r>
              <w:t>48.33 (0.0)</w:t>
            </w:r>
          </w:p>
        </w:tc>
      </w:tr>
      <w:tr w:rsidR="004F3404" w14:paraId="2A9F0F69" w14:textId="77777777" w:rsidTr="00D04965">
        <w:trPr>
          <w:trHeight w:val="20"/>
          <w:tblHeader/>
        </w:trPr>
        <w:tc>
          <w:tcPr>
            <w:tcW w:w="2494" w:type="dxa"/>
            <w:tcBorders>
              <w:top w:val="nil"/>
              <w:bottom w:val="nil"/>
            </w:tcBorders>
            <w:shd w:val="clear" w:color="auto" w:fill="auto"/>
          </w:tcPr>
          <w:p w14:paraId="3E63BB6B" w14:textId="77777777" w:rsidR="00674B6B" w:rsidRDefault="00674B6B">
            <w:pPr>
              <w:pStyle w:val="NoSpacing"/>
              <w:spacing w:before="280"/>
            </w:pPr>
          </w:p>
        </w:tc>
        <w:tc>
          <w:tcPr>
            <w:tcW w:w="1474" w:type="dxa"/>
            <w:tcBorders>
              <w:top w:val="nil"/>
              <w:bottom w:val="nil"/>
            </w:tcBorders>
            <w:shd w:val="clear" w:color="auto" w:fill="auto"/>
            <w:vAlign w:val="center"/>
          </w:tcPr>
          <w:p w14:paraId="1319BACA" w14:textId="77777777" w:rsidR="00674B6B" w:rsidRDefault="00674B6B">
            <w:pPr>
              <w:pStyle w:val="NoSpacing"/>
              <w:spacing w:before="280"/>
              <w:jc w:val="right"/>
            </w:pPr>
          </w:p>
        </w:tc>
        <w:tc>
          <w:tcPr>
            <w:tcW w:w="888" w:type="dxa"/>
            <w:tcBorders>
              <w:top w:val="nil"/>
              <w:bottom w:val="nil"/>
            </w:tcBorders>
            <w:shd w:val="clear" w:color="auto" w:fill="auto"/>
            <w:vAlign w:val="center"/>
          </w:tcPr>
          <w:p w14:paraId="5D1F835D" w14:textId="77777777" w:rsidR="00674B6B" w:rsidRDefault="00674B6B">
            <w:pPr>
              <w:pStyle w:val="NoSpacing"/>
              <w:spacing w:before="280"/>
              <w:jc w:val="right"/>
            </w:pPr>
          </w:p>
        </w:tc>
        <w:tc>
          <w:tcPr>
            <w:tcW w:w="939" w:type="dxa"/>
            <w:tcBorders>
              <w:top w:val="nil"/>
              <w:bottom w:val="nil"/>
            </w:tcBorders>
            <w:shd w:val="clear" w:color="auto" w:fill="auto"/>
            <w:vAlign w:val="center"/>
          </w:tcPr>
          <w:p w14:paraId="1CFF7887" w14:textId="77777777" w:rsidR="00674B6B" w:rsidRDefault="00674B6B">
            <w:pPr>
              <w:pStyle w:val="NoSpacing"/>
              <w:spacing w:before="280"/>
              <w:jc w:val="right"/>
            </w:pPr>
          </w:p>
        </w:tc>
        <w:tc>
          <w:tcPr>
            <w:tcW w:w="907" w:type="dxa"/>
            <w:tcBorders>
              <w:top w:val="nil"/>
              <w:bottom w:val="nil"/>
            </w:tcBorders>
            <w:shd w:val="clear" w:color="auto" w:fill="auto"/>
            <w:vAlign w:val="center"/>
          </w:tcPr>
          <w:p w14:paraId="0FBFA28C" w14:textId="77777777" w:rsidR="00674B6B" w:rsidRDefault="00674B6B">
            <w:pPr>
              <w:pStyle w:val="NoSpacing"/>
              <w:spacing w:before="280"/>
              <w:jc w:val="right"/>
            </w:pPr>
          </w:p>
        </w:tc>
        <w:tc>
          <w:tcPr>
            <w:tcW w:w="910" w:type="dxa"/>
            <w:gridSpan w:val="3"/>
            <w:tcBorders>
              <w:top w:val="nil"/>
              <w:bottom w:val="nil"/>
            </w:tcBorders>
            <w:shd w:val="clear" w:color="auto" w:fill="auto"/>
            <w:vAlign w:val="center"/>
          </w:tcPr>
          <w:p w14:paraId="45CB7D9F" w14:textId="77777777" w:rsidR="00674B6B" w:rsidRDefault="00674B6B">
            <w:pPr>
              <w:pStyle w:val="NoSpacing"/>
              <w:spacing w:before="280"/>
              <w:jc w:val="right"/>
            </w:pPr>
          </w:p>
        </w:tc>
      </w:tr>
      <w:tr w:rsidR="00270FEF" w14:paraId="2E4EDDC0" w14:textId="77777777" w:rsidTr="00D04965">
        <w:trPr>
          <w:gridAfter w:val="2"/>
          <w:wAfter w:w="312" w:type="dxa"/>
          <w:trHeight w:val="20"/>
          <w:tblHeader/>
        </w:trPr>
        <w:tc>
          <w:tcPr>
            <w:tcW w:w="7300" w:type="dxa"/>
            <w:gridSpan w:val="6"/>
            <w:tcBorders>
              <w:top w:val="nil"/>
              <w:bottom w:val="nil"/>
            </w:tcBorders>
            <w:shd w:val="clear" w:color="auto" w:fill="auto"/>
          </w:tcPr>
          <w:p w14:paraId="33891DF4" w14:textId="0C3C98F2" w:rsidR="00270FEF" w:rsidRDefault="00270FEF" w:rsidP="00270FEF">
            <w:pPr>
              <w:pStyle w:val="NoSpacing"/>
              <w:spacing w:before="280"/>
            </w:pPr>
            <w:r>
              <w:rPr>
                <w:sz w:val="16"/>
                <w:szCs w:val="16"/>
                <w:vertAlign w:val="superscript"/>
              </w:rPr>
              <w:t>a)</w:t>
            </w:r>
            <w:r>
              <w:rPr>
                <w:sz w:val="16"/>
                <w:szCs w:val="16"/>
              </w:rPr>
              <w:t xml:space="preserve"> Additional text-based queries for IPCI database</w:t>
            </w:r>
            <w:r>
              <w:rPr>
                <w:sz w:val="16"/>
                <w:szCs w:val="16"/>
              </w:rPr>
              <w:br/>
            </w:r>
            <w:r>
              <w:rPr>
                <w:sz w:val="16"/>
                <w:szCs w:val="16"/>
                <w:vertAlign w:val="superscript"/>
              </w:rPr>
              <w:t>b)</w:t>
            </w:r>
            <w:r>
              <w:rPr>
                <w:sz w:val="16"/>
                <w:szCs w:val="16"/>
              </w:rPr>
              <w:t xml:space="preserve"> Text-based query only for </w:t>
            </w:r>
            <w:proofErr w:type="spellStart"/>
            <w:r>
              <w:rPr>
                <w:sz w:val="16"/>
                <w:szCs w:val="16"/>
              </w:rPr>
              <w:t>GePaRD</w:t>
            </w:r>
            <w:proofErr w:type="spellEnd"/>
            <w:r>
              <w:rPr>
                <w:sz w:val="16"/>
                <w:szCs w:val="16"/>
              </w:rPr>
              <w:t xml:space="preserve"> database</w:t>
            </w:r>
          </w:p>
        </w:tc>
      </w:tr>
    </w:tbl>
    <w:p w14:paraId="1140E925" w14:textId="77777777" w:rsidR="00674B6B" w:rsidRDefault="00B10E7A">
      <w:pPr>
        <w:spacing w:beforeAutospacing="0" w:after="200" w:afterAutospacing="0" w:line="276" w:lineRule="auto"/>
      </w:pPr>
      <w:r>
        <w:br w:type="page"/>
      </w:r>
    </w:p>
    <w:p w14:paraId="023CF501" w14:textId="26CC1187" w:rsidR="00674B6B" w:rsidRDefault="00B10E7A" w:rsidP="00130CE6">
      <w:pPr>
        <w:pStyle w:val="Caption"/>
        <w:keepNext/>
      </w:pPr>
      <w:bookmarkStart w:id="4" w:name="_Ref447133748"/>
      <w:proofErr w:type="gramStart"/>
      <w:r>
        <w:lastRenderedPageBreak/>
        <w:t xml:space="preserve">Table </w:t>
      </w:r>
      <w:proofErr w:type="gramEnd"/>
      <w:r>
        <w:fldChar w:fldCharType="begin"/>
      </w:r>
      <w:r>
        <w:instrText>SEQ Table \* ARABIC</w:instrText>
      </w:r>
      <w:r>
        <w:fldChar w:fldCharType="separate"/>
      </w:r>
      <w:r w:rsidR="00406051">
        <w:rPr>
          <w:noProof/>
        </w:rPr>
        <w:t>2</w:t>
      </w:r>
      <w:r>
        <w:fldChar w:fldCharType="end"/>
      </w:r>
      <w:bookmarkEnd w:id="4"/>
      <w:proofErr w:type="gramStart"/>
      <w:r>
        <w:t>: Number of concepts and performance measures of the mappings in the evaluation.</w:t>
      </w:r>
      <w:proofErr w:type="gramEnd"/>
      <w:r>
        <w:t xml:space="preserve"> Numbers per vocabularies are macro-averages over all events.</w:t>
      </w:r>
    </w:p>
    <w:tbl>
      <w:tblPr>
        <w:tblStyle w:val="TableGrid"/>
        <w:tblW w:w="7822" w:type="dxa"/>
        <w:tblLook w:val="0000" w:firstRow="0" w:lastRow="0" w:firstColumn="0" w:lastColumn="0" w:noHBand="0" w:noVBand="0"/>
      </w:tblPr>
      <w:tblGrid>
        <w:gridCol w:w="2098"/>
        <w:gridCol w:w="1045"/>
        <w:gridCol w:w="936"/>
        <w:gridCol w:w="936"/>
        <w:gridCol w:w="936"/>
        <w:gridCol w:w="937"/>
        <w:gridCol w:w="934"/>
      </w:tblGrid>
      <w:tr w:rsidR="00674B6B" w14:paraId="6DB64966" w14:textId="77777777" w:rsidTr="00BD3A70">
        <w:trPr>
          <w:trHeight w:val="297"/>
        </w:trPr>
        <w:tc>
          <w:tcPr>
            <w:tcW w:w="2098" w:type="dxa"/>
            <w:tcBorders>
              <w:top w:val="nil"/>
            </w:tcBorders>
            <w:shd w:val="clear" w:color="auto" w:fill="auto"/>
          </w:tcPr>
          <w:p w14:paraId="778FE28E" w14:textId="77777777" w:rsidR="00674B6B" w:rsidRDefault="00B10E7A">
            <w:pPr>
              <w:pStyle w:val="NoSpacing"/>
              <w:spacing w:before="280"/>
              <w:rPr>
                <w:b/>
              </w:rPr>
            </w:pPr>
            <w:r>
              <w:rPr>
                <w:b/>
              </w:rPr>
              <w:t>Revision (concepts)</w:t>
            </w:r>
          </w:p>
        </w:tc>
        <w:tc>
          <w:tcPr>
            <w:tcW w:w="1045" w:type="dxa"/>
            <w:tcBorders>
              <w:top w:val="nil"/>
            </w:tcBorders>
            <w:shd w:val="clear" w:color="auto" w:fill="auto"/>
          </w:tcPr>
          <w:p w14:paraId="65F34E75" w14:textId="77777777" w:rsidR="00674B6B" w:rsidRDefault="00674B6B">
            <w:pPr>
              <w:pStyle w:val="NoSpacing"/>
              <w:spacing w:before="280"/>
              <w:jc w:val="right"/>
              <w:rPr>
                <w:b/>
              </w:rPr>
            </w:pPr>
          </w:p>
        </w:tc>
        <w:tc>
          <w:tcPr>
            <w:tcW w:w="936" w:type="dxa"/>
            <w:tcBorders>
              <w:top w:val="nil"/>
            </w:tcBorders>
            <w:shd w:val="clear" w:color="auto" w:fill="auto"/>
          </w:tcPr>
          <w:p w14:paraId="4215CC6D" w14:textId="77777777" w:rsidR="00674B6B" w:rsidRDefault="00B10E7A">
            <w:pPr>
              <w:pStyle w:val="NoSpacing"/>
              <w:spacing w:before="280"/>
              <w:jc w:val="right"/>
              <w:rPr>
                <w:b/>
              </w:rPr>
            </w:pPr>
            <w:r>
              <w:rPr>
                <w:b/>
              </w:rPr>
              <w:t>ICD-9</w:t>
            </w:r>
          </w:p>
        </w:tc>
        <w:tc>
          <w:tcPr>
            <w:tcW w:w="936" w:type="dxa"/>
            <w:tcBorders>
              <w:top w:val="nil"/>
            </w:tcBorders>
            <w:shd w:val="clear" w:color="auto" w:fill="auto"/>
          </w:tcPr>
          <w:p w14:paraId="595036FB" w14:textId="77777777" w:rsidR="00674B6B" w:rsidRDefault="00B10E7A">
            <w:pPr>
              <w:pStyle w:val="NoSpacing"/>
              <w:spacing w:before="280"/>
              <w:jc w:val="right"/>
              <w:rPr>
                <w:b/>
              </w:rPr>
            </w:pPr>
            <w:r>
              <w:rPr>
                <w:b/>
              </w:rPr>
              <w:t>ICD-10</w:t>
            </w:r>
          </w:p>
        </w:tc>
        <w:tc>
          <w:tcPr>
            <w:tcW w:w="936" w:type="dxa"/>
            <w:tcBorders>
              <w:top w:val="nil"/>
            </w:tcBorders>
            <w:shd w:val="clear" w:color="auto" w:fill="auto"/>
          </w:tcPr>
          <w:p w14:paraId="755A1CAA" w14:textId="77777777" w:rsidR="00674B6B" w:rsidRDefault="00B10E7A">
            <w:pPr>
              <w:pStyle w:val="NoSpacing"/>
              <w:spacing w:before="280"/>
              <w:jc w:val="right"/>
              <w:rPr>
                <w:b/>
              </w:rPr>
            </w:pPr>
            <w:r>
              <w:rPr>
                <w:b/>
              </w:rPr>
              <w:t>ICPC-2</w:t>
            </w:r>
          </w:p>
        </w:tc>
        <w:tc>
          <w:tcPr>
            <w:tcW w:w="937" w:type="dxa"/>
            <w:tcBorders>
              <w:top w:val="nil"/>
            </w:tcBorders>
            <w:shd w:val="clear" w:color="auto" w:fill="auto"/>
          </w:tcPr>
          <w:p w14:paraId="1D0A8BAA" w14:textId="77777777" w:rsidR="00674B6B" w:rsidRDefault="00B10E7A">
            <w:pPr>
              <w:pStyle w:val="NoSpacing"/>
              <w:spacing w:before="280"/>
              <w:jc w:val="right"/>
              <w:rPr>
                <w:b/>
              </w:rPr>
            </w:pPr>
            <w:r>
              <w:rPr>
                <w:b/>
              </w:rPr>
              <w:t>READ-2</w:t>
            </w:r>
          </w:p>
        </w:tc>
        <w:tc>
          <w:tcPr>
            <w:tcW w:w="934" w:type="dxa"/>
            <w:tcBorders>
              <w:top w:val="nil"/>
            </w:tcBorders>
            <w:shd w:val="clear" w:color="auto" w:fill="auto"/>
          </w:tcPr>
          <w:p w14:paraId="389CAD6F" w14:textId="77777777" w:rsidR="00674B6B" w:rsidRDefault="00B10E7A">
            <w:pPr>
              <w:pStyle w:val="NoSpacing"/>
              <w:spacing w:before="280"/>
              <w:jc w:val="right"/>
              <w:rPr>
                <w:b/>
              </w:rPr>
            </w:pPr>
            <w:r>
              <w:rPr>
                <w:b/>
              </w:rPr>
              <w:t>Average</w:t>
            </w:r>
          </w:p>
        </w:tc>
      </w:tr>
      <w:tr w:rsidR="00674B6B" w14:paraId="014A759C" w14:textId="77777777" w:rsidTr="00BD3A70">
        <w:trPr>
          <w:trHeight w:val="359"/>
        </w:trPr>
        <w:tc>
          <w:tcPr>
            <w:tcW w:w="2098" w:type="dxa"/>
            <w:tcBorders>
              <w:bottom w:val="nil"/>
            </w:tcBorders>
            <w:shd w:val="clear" w:color="auto" w:fill="auto"/>
            <w:vAlign w:val="bottom"/>
          </w:tcPr>
          <w:p w14:paraId="052AB23D" w14:textId="77777777" w:rsidR="00674B6B" w:rsidRDefault="00B10E7A">
            <w:pPr>
              <w:pStyle w:val="NoSpacing"/>
              <w:spacing w:before="280"/>
            </w:pPr>
            <w:r>
              <w:t>Baseline (46)</w:t>
            </w:r>
          </w:p>
        </w:tc>
        <w:tc>
          <w:tcPr>
            <w:tcW w:w="1045" w:type="dxa"/>
            <w:tcBorders>
              <w:bottom w:val="nil"/>
            </w:tcBorders>
            <w:shd w:val="clear" w:color="auto" w:fill="auto"/>
            <w:vAlign w:val="bottom"/>
          </w:tcPr>
          <w:p w14:paraId="52047C17" w14:textId="77777777" w:rsidR="00674B6B" w:rsidRDefault="00B10E7A">
            <w:pPr>
              <w:pStyle w:val="NoSpacing"/>
              <w:spacing w:before="280"/>
            </w:pPr>
            <w:r>
              <w:t>Sensitivity</w:t>
            </w:r>
          </w:p>
        </w:tc>
        <w:tc>
          <w:tcPr>
            <w:tcW w:w="936" w:type="dxa"/>
            <w:tcBorders>
              <w:bottom w:val="nil"/>
            </w:tcBorders>
            <w:shd w:val="clear" w:color="auto" w:fill="auto"/>
            <w:vAlign w:val="bottom"/>
          </w:tcPr>
          <w:p w14:paraId="11196576" w14:textId="77777777" w:rsidR="00674B6B" w:rsidRDefault="00B10E7A">
            <w:pPr>
              <w:pStyle w:val="NoSpacing"/>
              <w:spacing w:before="280"/>
              <w:jc w:val="right"/>
            </w:pPr>
            <w:r>
              <w:t>0.300</w:t>
            </w:r>
          </w:p>
        </w:tc>
        <w:tc>
          <w:tcPr>
            <w:tcW w:w="936" w:type="dxa"/>
            <w:tcBorders>
              <w:bottom w:val="nil"/>
            </w:tcBorders>
            <w:shd w:val="clear" w:color="auto" w:fill="auto"/>
            <w:vAlign w:val="bottom"/>
          </w:tcPr>
          <w:p w14:paraId="165610F3" w14:textId="77777777" w:rsidR="00674B6B" w:rsidRDefault="00B10E7A">
            <w:pPr>
              <w:pStyle w:val="NoSpacing"/>
              <w:spacing w:before="280"/>
              <w:jc w:val="right"/>
            </w:pPr>
            <w:r>
              <w:t>0.195</w:t>
            </w:r>
          </w:p>
        </w:tc>
        <w:tc>
          <w:tcPr>
            <w:tcW w:w="936" w:type="dxa"/>
            <w:tcBorders>
              <w:bottom w:val="nil"/>
            </w:tcBorders>
            <w:shd w:val="clear" w:color="auto" w:fill="auto"/>
            <w:vAlign w:val="bottom"/>
          </w:tcPr>
          <w:p w14:paraId="7ED4ECC7" w14:textId="77777777" w:rsidR="00674B6B" w:rsidRDefault="00B10E7A">
            <w:pPr>
              <w:pStyle w:val="NoSpacing"/>
              <w:spacing w:before="280"/>
              <w:jc w:val="right"/>
            </w:pPr>
            <w:r>
              <w:t>0.357</w:t>
            </w:r>
          </w:p>
        </w:tc>
        <w:tc>
          <w:tcPr>
            <w:tcW w:w="937" w:type="dxa"/>
            <w:tcBorders>
              <w:bottom w:val="nil"/>
            </w:tcBorders>
            <w:shd w:val="clear" w:color="auto" w:fill="auto"/>
            <w:vAlign w:val="bottom"/>
          </w:tcPr>
          <w:p w14:paraId="498C7877" w14:textId="77777777" w:rsidR="00674B6B" w:rsidRDefault="00B10E7A">
            <w:pPr>
              <w:pStyle w:val="NoSpacing"/>
              <w:spacing w:before="280"/>
              <w:jc w:val="right"/>
            </w:pPr>
            <w:r>
              <w:t>0.131</w:t>
            </w:r>
          </w:p>
        </w:tc>
        <w:tc>
          <w:tcPr>
            <w:tcW w:w="934" w:type="dxa"/>
            <w:tcBorders>
              <w:bottom w:val="nil"/>
            </w:tcBorders>
            <w:shd w:val="clear" w:color="auto" w:fill="auto"/>
            <w:vAlign w:val="bottom"/>
          </w:tcPr>
          <w:p w14:paraId="2CF655E8" w14:textId="77777777" w:rsidR="00674B6B" w:rsidRDefault="00B10E7A">
            <w:pPr>
              <w:pStyle w:val="NoSpacing"/>
              <w:spacing w:before="280"/>
              <w:jc w:val="right"/>
            </w:pPr>
            <w:r>
              <w:t>0.246</w:t>
            </w:r>
          </w:p>
        </w:tc>
      </w:tr>
      <w:tr w:rsidR="00674B6B" w14:paraId="164C31AF" w14:textId="77777777" w:rsidTr="00BD3A70">
        <w:trPr>
          <w:trHeight w:val="20"/>
        </w:trPr>
        <w:tc>
          <w:tcPr>
            <w:tcW w:w="2098" w:type="dxa"/>
            <w:tcBorders>
              <w:top w:val="nil"/>
              <w:bottom w:val="nil"/>
            </w:tcBorders>
            <w:shd w:val="clear" w:color="auto" w:fill="auto"/>
            <w:vAlign w:val="bottom"/>
          </w:tcPr>
          <w:p w14:paraId="208E8A5C" w14:textId="77777777" w:rsidR="00674B6B" w:rsidRDefault="00674B6B">
            <w:pPr>
              <w:pStyle w:val="NoSpacing"/>
              <w:spacing w:before="280"/>
            </w:pPr>
          </w:p>
        </w:tc>
        <w:tc>
          <w:tcPr>
            <w:tcW w:w="1045" w:type="dxa"/>
            <w:tcBorders>
              <w:top w:val="nil"/>
              <w:bottom w:val="nil"/>
            </w:tcBorders>
            <w:shd w:val="clear" w:color="auto" w:fill="auto"/>
            <w:vAlign w:val="bottom"/>
          </w:tcPr>
          <w:p w14:paraId="175EB71A" w14:textId="77777777" w:rsidR="00674B6B" w:rsidRDefault="00B10E7A">
            <w:pPr>
              <w:pStyle w:val="NoSpacing"/>
              <w:spacing w:before="280"/>
            </w:pPr>
            <w:r>
              <w:t>PPV</w:t>
            </w:r>
          </w:p>
        </w:tc>
        <w:tc>
          <w:tcPr>
            <w:tcW w:w="936" w:type="dxa"/>
            <w:tcBorders>
              <w:top w:val="nil"/>
              <w:bottom w:val="nil"/>
            </w:tcBorders>
            <w:shd w:val="clear" w:color="auto" w:fill="auto"/>
            <w:vAlign w:val="bottom"/>
          </w:tcPr>
          <w:p w14:paraId="27A330F5" w14:textId="77777777" w:rsidR="00674B6B" w:rsidRDefault="00B10E7A">
            <w:pPr>
              <w:pStyle w:val="NoSpacing"/>
              <w:spacing w:before="280"/>
              <w:jc w:val="right"/>
            </w:pPr>
            <w:r>
              <w:t>0.387</w:t>
            </w:r>
          </w:p>
        </w:tc>
        <w:tc>
          <w:tcPr>
            <w:tcW w:w="936" w:type="dxa"/>
            <w:tcBorders>
              <w:top w:val="nil"/>
              <w:bottom w:val="nil"/>
            </w:tcBorders>
            <w:shd w:val="clear" w:color="auto" w:fill="auto"/>
            <w:vAlign w:val="bottom"/>
          </w:tcPr>
          <w:p w14:paraId="3A99F44B" w14:textId="77777777" w:rsidR="00674B6B" w:rsidRDefault="00B10E7A">
            <w:pPr>
              <w:pStyle w:val="NoSpacing"/>
              <w:spacing w:before="280"/>
              <w:jc w:val="right"/>
            </w:pPr>
            <w:r>
              <w:t>0.380</w:t>
            </w:r>
          </w:p>
        </w:tc>
        <w:tc>
          <w:tcPr>
            <w:tcW w:w="936" w:type="dxa"/>
            <w:tcBorders>
              <w:top w:val="nil"/>
              <w:bottom w:val="nil"/>
            </w:tcBorders>
            <w:shd w:val="clear" w:color="auto" w:fill="auto"/>
            <w:vAlign w:val="bottom"/>
          </w:tcPr>
          <w:p w14:paraId="3F3DB5CE" w14:textId="77777777" w:rsidR="00674B6B" w:rsidRDefault="00B10E7A">
            <w:pPr>
              <w:pStyle w:val="NoSpacing"/>
              <w:spacing w:before="280"/>
              <w:jc w:val="right"/>
            </w:pPr>
            <w:r>
              <w:t>0.500</w:t>
            </w:r>
          </w:p>
        </w:tc>
        <w:tc>
          <w:tcPr>
            <w:tcW w:w="937" w:type="dxa"/>
            <w:tcBorders>
              <w:top w:val="nil"/>
              <w:bottom w:val="nil"/>
            </w:tcBorders>
            <w:shd w:val="clear" w:color="auto" w:fill="auto"/>
            <w:vAlign w:val="bottom"/>
          </w:tcPr>
          <w:p w14:paraId="3D7465D2" w14:textId="77777777" w:rsidR="00674B6B" w:rsidRDefault="00B10E7A">
            <w:pPr>
              <w:pStyle w:val="NoSpacing"/>
              <w:spacing w:before="280"/>
              <w:jc w:val="right"/>
            </w:pPr>
            <w:r>
              <w:t>0.411</w:t>
            </w:r>
          </w:p>
        </w:tc>
        <w:tc>
          <w:tcPr>
            <w:tcW w:w="934" w:type="dxa"/>
            <w:tcBorders>
              <w:top w:val="nil"/>
              <w:bottom w:val="nil"/>
            </w:tcBorders>
            <w:shd w:val="clear" w:color="auto" w:fill="auto"/>
            <w:vAlign w:val="bottom"/>
          </w:tcPr>
          <w:p w14:paraId="3572F5CB" w14:textId="77777777" w:rsidR="00674B6B" w:rsidRDefault="00B10E7A">
            <w:pPr>
              <w:pStyle w:val="NoSpacing"/>
              <w:spacing w:before="280"/>
              <w:jc w:val="right"/>
            </w:pPr>
            <w:r>
              <w:t>0.420</w:t>
            </w:r>
          </w:p>
        </w:tc>
      </w:tr>
      <w:tr w:rsidR="00674B6B" w14:paraId="64BFB10E" w14:textId="77777777" w:rsidTr="00BD3A70">
        <w:trPr>
          <w:trHeight w:val="378"/>
        </w:trPr>
        <w:tc>
          <w:tcPr>
            <w:tcW w:w="2098" w:type="dxa"/>
            <w:tcBorders>
              <w:top w:val="nil"/>
              <w:bottom w:val="nil"/>
            </w:tcBorders>
            <w:shd w:val="clear" w:color="auto" w:fill="auto"/>
            <w:vAlign w:val="bottom"/>
          </w:tcPr>
          <w:p w14:paraId="041ABE40" w14:textId="77777777" w:rsidR="00674B6B" w:rsidRDefault="00B10E7A">
            <w:pPr>
              <w:pStyle w:val="NoSpacing"/>
              <w:spacing w:before="280"/>
            </w:pPr>
            <w:r>
              <w:t>Expansion</w:t>
            </w:r>
            <w:r>
              <w:rPr>
                <w:vertAlign w:val="subscript"/>
              </w:rPr>
              <w:t xml:space="preserve"> </w:t>
            </w:r>
            <w:r>
              <w:t>step 1 (183)</w:t>
            </w:r>
          </w:p>
        </w:tc>
        <w:tc>
          <w:tcPr>
            <w:tcW w:w="1045" w:type="dxa"/>
            <w:tcBorders>
              <w:top w:val="nil"/>
              <w:bottom w:val="nil"/>
            </w:tcBorders>
            <w:shd w:val="clear" w:color="auto" w:fill="auto"/>
            <w:vAlign w:val="bottom"/>
          </w:tcPr>
          <w:p w14:paraId="11014F28" w14:textId="77777777" w:rsidR="00674B6B" w:rsidRDefault="00B10E7A">
            <w:pPr>
              <w:pStyle w:val="NoSpacing"/>
              <w:spacing w:before="280"/>
            </w:pPr>
            <w:r>
              <w:t>Sensitivity</w:t>
            </w:r>
          </w:p>
        </w:tc>
        <w:tc>
          <w:tcPr>
            <w:tcW w:w="936" w:type="dxa"/>
            <w:tcBorders>
              <w:top w:val="nil"/>
              <w:bottom w:val="nil"/>
            </w:tcBorders>
            <w:shd w:val="clear" w:color="auto" w:fill="auto"/>
            <w:vAlign w:val="bottom"/>
          </w:tcPr>
          <w:p w14:paraId="7A4663F4" w14:textId="77777777" w:rsidR="00674B6B" w:rsidRDefault="00B10E7A">
            <w:pPr>
              <w:pStyle w:val="NoSpacing"/>
              <w:spacing w:before="280"/>
              <w:jc w:val="right"/>
            </w:pPr>
            <w:r>
              <w:t>0.858</w:t>
            </w:r>
          </w:p>
        </w:tc>
        <w:tc>
          <w:tcPr>
            <w:tcW w:w="936" w:type="dxa"/>
            <w:tcBorders>
              <w:top w:val="nil"/>
              <w:bottom w:val="nil"/>
            </w:tcBorders>
            <w:shd w:val="clear" w:color="auto" w:fill="auto"/>
            <w:vAlign w:val="bottom"/>
          </w:tcPr>
          <w:p w14:paraId="79759135" w14:textId="77777777" w:rsidR="00674B6B" w:rsidRDefault="00B10E7A">
            <w:pPr>
              <w:pStyle w:val="NoSpacing"/>
              <w:spacing w:before="280"/>
              <w:jc w:val="right"/>
            </w:pPr>
            <w:r>
              <w:t>0.848</w:t>
            </w:r>
          </w:p>
        </w:tc>
        <w:tc>
          <w:tcPr>
            <w:tcW w:w="936" w:type="dxa"/>
            <w:tcBorders>
              <w:top w:val="nil"/>
              <w:bottom w:val="nil"/>
            </w:tcBorders>
            <w:shd w:val="clear" w:color="auto" w:fill="auto"/>
            <w:vAlign w:val="bottom"/>
          </w:tcPr>
          <w:p w14:paraId="2E508AFA" w14:textId="77777777" w:rsidR="00674B6B" w:rsidRDefault="00B10E7A">
            <w:pPr>
              <w:pStyle w:val="NoSpacing"/>
              <w:spacing w:before="280"/>
              <w:jc w:val="right"/>
            </w:pPr>
            <w:r>
              <w:t>1.000</w:t>
            </w:r>
          </w:p>
        </w:tc>
        <w:tc>
          <w:tcPr>
            <w:tcW w:w="937" w:type="dxa"/>
            <w:tcBorders>
              <w:top w:val="nil"/>
              <w:bottom w:val="nil"/>
            </w:tcBorders>
            <w:shd w:val="clear" w:color="auto" w:fill="auto"/>
            <w:vAlign w:val="bottom"/>
          </w:tcPr>
          <w:p w14:paraId="62F061E0" w14:textId="77777777" w:rsidR="00674B6B" w:rsidRDefault="00B10E7A">
            <w:pPr>
              <w:pStyle w:val="NoSpacing"/>
              <w:spacing w:before="280"/>
              <w:jc w:val="right"/>
            </w:pPr>
            <w:r>
              <w:t>0.568</w:t>
            </w:r>
          </w:p>
        </w:tc>
        <w:tc>
          <w:tcPr>
            <w:tcW w:w="934" w:type="dxa"/>
            <w:tcBorders>
              <w:top w:val="nil"/>
              <w:bottom w:val="nil"/>
            </w:tcBorders>
            <w:shd w:val="clear" w:color="auto" w:fill="auto"/>
            <w:vAlign w:val="bottom"/>
          </w:tcPr>
          <w:p w14:paraId="3AE7AC09" w14:textId="77777777" w:rsidR="00674B6B" w:rsidRDefault="00B10E7A">
            <w:pPr>
              <w:pStyle w:val="NoSpacing"/>
              <w:spacing w:before="280"/>
              <w:jc w:val="right"/>
            </w:pPr>
            <w:r>
              <w:t>0.818</w:t>
            </w:r>
          </w:p>
        </w:tc>
      </w:tr>
      <w:tr w:rsidR="00674B6B" w14:paraId="4482DBC7" w14:textId="77777777" w:rsidTr="00BD3A70">
        <w:trPr>
          <w:trHeight w:val="20"/>
        </w:trPr>
        <w:tc>
          <w:tcPr>
            <w:tcW w:w="2098" w:type="dxa"/>
            <w:tcBorders>
              <w:top w:val="nil"/>
              <w:bottom w:val="nil"/>
            </w:tcBorders>
            <w:shd w:val="clear" w:color="auto" w:fill="auto"/>
            <w:vAlign w:val="bottom"/>
          </w:tcPr>
          <w:p w14:paraId="28F8537C" w14:textId="77777777" w:rsidR="00674B6B" w:rsidRDefault="00674B6B">
            <w:pPr>
              <w:pStyle w:val="NoSpacing"/>
              <w:spacing w:before="280"/>
            </w:pPr>
          </w:p>
        </w:tc>
        <w:tc>
          <w:tcPr>
            <w:tcW w:w="1045" w:type="dxa"/>
            <w:tcBorders>
              <w:top w:val="nil"/>
              <w:bottom w:val="nil"/>
            </w:tcBorders>
            <w:shd w:val="clear" w:color="auto" w:fill="auto"/>
            <w:vAlign w:val="bottom"/>
          </w:tcPr>
          <w:p w14:paraId="59A77704" w14:textId="77777777" w:rsidR="00674B6B" w:rsidRDefault="00B10E7A">
            <w:pPr>
              <w:pStyle w:val="NoSpacing"/>
              <w:spacing w:before="280"/>
            </w:pPr>
            <w:r>
              <w:t>PPV</w:t>
            </w:r>
          </w:p>
        </w:tc>
        <w:tc>
          <w:tcPr>
            <w:tcW w:w="936" w:type="dxa"/>
            <w:tcBorders>
              <w:top w:val="nil"/>
              <w:bottom w:val="nil"/>
            </w:tcBorders>
            <w:shd w:val="clear" w:color="auto" w:fill="auto"/>
            <w:vAlign w:val="bottom"/>
          </w:tcPr>
          <w:p w14:paraId="088DAC6C" w14:textId="77777777" w:rsidR="00674B6B" w:rsidRDefault="00B10E7A">
            <w:pPr>
              <w:pStyle w:val="NoSpacing"/>
              <w:spacing w:before="280"/>
              <w:jc w:val="right"/>
            </w:pPr>
            <w:r>
              <w:t>0.483</w:t>
            </w:r>
          </w:p>
        </w:tc>
        <w:tc>
          <w:tcPr>
            <w:tcW w:w="936" w:type="dxa"/>
            <w:tcBorders>
              <w:top w:val="nil"/>
              <w:bottom w:val="nil"/>
            </w:tcBorders>
            <w:shd w:val="clear" w:color="auto" w:fill="auto"/>
            <w:vAlign w:val="bottom"/>
          </w:tcPr>
          <w:p w14:paraId="3E1C6827" w14:textId="77777777" w:rsidR="00674B6B" w:rsidRDefault="00B10E7A">
            <w:pPr>
              <w:pStyle w:val="NoSpacing"/>
              <w:spacing w:before="280"/>
              <w:jc w:val="right"/>
            </w:pPr>
            <w:r>
              <w:t>0.558</w:t>
            </w:r>
          </w:p>
        </w:tc>
        <w:tc>
          <w:tcPr>
            <w:tcW w:w="936" w:type="dxa"/>
            <w:tcBorders>
              <w:top w:val="nil"/>
              <w:bottom w:val="nil"/>
            </w:tcBorders>
            <w:shd w:val="clear" w:color="auto" w:fill="auto"/>
            <w:vAlign w:val="bottom"/>
          </w:tcPr>
          <w:p w14:paraId="62D46D7E" w14:textId="77777777" w:rsidR="00674B6B" w:rsidRDefault="00B10E7A">
            <w:pPr>
              <w:pStyle w:val="NoSpacing"/>
              <w:spacing w:before="280"/>
              <w:jc w:val="right"/>
            </w:pPr>
            <w:r>
              <w:t>0.762</w:t>
            </w:r>
          </w:p>
        </w:tc>
        <w:tc>
          <w:tcPr>
            <w:tcW w:w="937" w:type="dxa"/>
            <w:tcBorders>
              <w:top w:val="nil"/>
              <w:bottom w:val="nil"/>
            </w:tcBorders>
            <w:shd w:val="clear" w:color="auto" w:fill="auto"/>
            <w:vAlign w:val="bottom"/>
          </w:tcPr>
          <w:p w14:paraId="0A796600" w14:textId="77777777" w:rsidR="00674B6B" w:rsidRDefault="00B10E7A">
            <w:pPr>
              <w:pStyle w:val="NoSpacing"/>
              <w:spacing w:before="280"/>
              <w:jc w:val="right"/>
            </w:pPr>
            <w:r>
              <w:t>0.729</w:t>
            </w:r>
          </w:p>
        </w:tc>
        <w:tc>
          <w:tcPr>
            <w:tcW w:w="934" w:type="dxa"/>
            <w:tcBorders>
              <w:top w:val="nil"/>
              <w:bottom w:val="nil"/>
            </w:tcBorders>
            <w:shd w:val="clear" w:color="auto" w:fill="auto"/>
            <w:vAlign w:val="bottom"/>
          </w:tcPr>
          <w:p w14:paraId="6E4ABEB3" w14:textId="77777777" w:rsidR="00674B6B" w:rsidRDefault="00B10E7A">
            <w:pPr>
              <w:pStyle w:val="NoSpacing"/>
              <w:spacing w:before="280"/>
              <w:jc w:val="right"/>
            </w:pPr>
            <w:r>
              <w:t>0.633</w:t>
            </w:r>
          </w:p>
        </w:tc>
      </w:tr>
      <w:tr w:rsidR="00674B6B" w14:paraId="1D885C95" w14:textId="77777777" w:rsidTr="00BD3A70">
        <w:trPr>
          <w:trHeight w:val="396"/>
        </w:trPr>
        <w:tc>
          <w:tcPr>
            <w:tcW w:w="2098" w:type="dxa"/>
            <w:tcBorders>
              <w:top w:val="nil"/>
              <w:bottom w:val="nil"/>
            </w:tcBorders>
            <w:shd w:val="clear" w:color="auto" w:fill="auto"/>
            <w:vAlign w:val="bottom"/>
          </w:tcPr>
          <w:p w14:paraId="6B3639C8" w14:textId="77777777" w:rsidR="00674B6B" w:rsidRDefault="00B10E7A">
            <w:pPr>
              <w:pStyle w:val="NoSpacing"/>
              <w:spacing w:before="280"/>
            </w:pPr>
            <w:r>
              <w:t>Expansion step 2 (297)</w:t>
            </w:r>
          </w:p>
        </w:tc>
        <w:tc>
          <w:tcPr>
            <w:tcW w:w="1045" w:type="dxa"/>
            <w:tcBorders>
              <w:top w:val="nil"/>
              <w:bottom w:val="nil"/>
            </w:tcBorders>
            <w:shd w:val="clear" w:color="auto" w:fill="auto"/>
            <w:vAlign w:val="bottom"/>
          </w:tcPr>
          <w:p w14:paraId="1A539B5B" w14:textId="77777777" w:rsidR="00674B6B" w:rsidRDefault="00B10E7A">
            <w:pPr>
              <w:pStyle w:val="NoSpacing"/>
              <w:spacing w:before="280"/>
            </w:pPr>
            <w:r>
              <w:t>Sensitivity</w:t>
            </w:r>
          </w:p>
        </w:tc>
        <w:tc>
          <w:tcPr>
            <w:tcW w:w="936" w:type="dxa"/>
            <w:tcBorders>
              <w:top w:val="nil"/>
              <w:bottom w:val="nil"/>
            </w:tcBorders>
            <w:shd w:val="clear" w:color="auto" w:fill="auto"/>
            <w:vAlign w:val="bottom"/>
          </w:tcPr>
          <w:p w14:paraId="147BA28A" w14:textId="77777777" w:rsidR="00674B6B" w:rsidRDefault="00B10E7A">
            <w:pPr>
              <w:pStyle w:val="NoSpacing"/>
              <w:spacing w:before="280"/>
              <w:jc w:val="right"/>
            </w:pPr>
            <w:r>
              <w:t>0.914</w:t>
            </w:r>
          </w:p>
        </w:tc>
        <w:tc>
          <w:tcPr>
            <w:tcW w:w="936" w:type="dxa"/>
            <w:tcBorders>
              <w:top w:val="nil"/>
              <w:bottom w:val="nil"/>
            </w:tcBorders>
            <w:shd w:val="clear" w:color="auto" w:fill="auto"/>
            <w:vAlign w:val="bottom"/>
          </w:tcPr>
          <w:p w14:paraId="66174F9D" w14:textId="77777777" w:rsidR="00674B6B" w:rsidRDefault="00B10E7A">
            <w:pPr>
              <w:pStyle w:val="NoSpacing"/>
              <w:spacing w:before="280"/>
              <w:jc w:val="right"/>
            </w:pPr>
            <w:r>
              <w:t>1.000</w:t>
            </w:r>
          </w:p>
        </w:tc>
        <w:tc>
          <w:tcPr>
            <w:tcW w:w="936" w:type="dxa"/>
            <w:tcBorders>
              <w:top w:val="nil"/>
              <w:bottom w:val="nil"/>
            </w:tcBorders>
            <w:shd w:val="clear" w:color="auto" w:fill="auto"/>
            <w:vAlign w:val="bottom"/>
          </w:tcPr>
          <w:p w14:paraId="27561ED1" w14:textId="77777777" w:rsidR="00674B6B" w:rsidRDefault="00B10E7A">
            <w:pPr>
              <w:pStyle w:val="NoSpacing"/>
              <w:spacing w:before="280"/>
              <w:jc w:val="right"/>
            </w:pPr>
            <w:r>
              <w:t>1.000</w:t>
            </w:r>
          </w:p>
        </w:tc>
        <w:tc>
          <w:tcPr>
            <w:tcW w:w="937" w:type="dxa"/>
            <w:tcBorders>
              <w:top w:val="nil"/>
              <w:bottom w:val="nil"/>
            </w:tcBorders>
            <w:shd w:val="clear" w:color="auto" w:fill="auto"/>
            <w:vAlign w:val="bottom"/>
          </w:tcPr>
          <w:p w14:paraId="2DE8F72B" w14:textId="77777777" w:rsidR="00674B6B" w:rsidRDefault="00B10E7A">
            <w:pPr>
              <w:pStyle w:val="NoSpacing"/>
              <w:spacing w:before="280"/>
              <w:jc w:val="right"/>
            </w:pPr>
            <w:r>
              <w:t>0.846</w:t>
            </w:r>
          </w:p>
        </w:tc>
        <w:tc>
          <w:tcPr>
            <w:tcW w:w="934" w:type="dxa"/>
            <w:tcBorders>
              <w:top w:val="nil"/>
              <w:bottom w:val="nil"/>
            </w:tcBorders>
            <w:shd w:val="clear" w:color="auto" w:fill="auto"/>
            <w:vAlign w:val="bottom"/>
          </w:tcPr>
          <w:p w14:paraId="5D5EEBC9" w14:textId="77777777" w:rsidR="00674B6B" w:rsidRDefault="00B10E7A">
            <w:pPr>
              <w:pStyle w:val="NoSpacing"/>
              <w:spacing w:before="280"/>
              <w:jc w:val="right"/>
            </w:pPr>
            <w:r>
              <w:t>0.940</w:t>
            </w:r>
          </w:p>
        </w:tc>
      </w:tr>
      <w:tr w:rsidR="00674B6B" w14:paraId="3FDCD374" w14:textId="77777777" w:rsidTr="00BD3A70">
        <w:trPr>
          <w:trHeight w:val="20"/>
        </w:trPr>
        <w:tc>
          <w:tcPr>
            <w:tcW w:w="2098" w:type="dxa"/>
            <w:tcBorders>
              <w:top w:val="nil"/>
              <w:bottom w:val="nil"/>
            </w:tcBorders>
            <w:shd w:val="clear" w:color="auto" w:fill="auto"/>
            <w:vAlign w:val="bottom"/>
          </w:tcPr>
          <w:p w14:paraId="13547C73" w14:textId="77777777" w:rsidR="00674B6B" w:rsidRDefault="00674B6B">
            <w:pPr>
              <w:pStyle w:val="NoSpacing"/>
              <w:spacing w:before="280"/>
            </w:pPr>
          </w:p>
        </w:tc>
        <w:tc>
          <w:tcPr>
            <w:tcW w:w="1045" w:type="dxa"/>
            <w:tcBorders>
              <w:top w:val="nil"/>
              <w:bottom w:val="nil"/>
            </w:tcBorders>
            <w:shd w:val="clear" w:color="auto" w:fill="auto"/>
            <w:vAlign w:val="bottom"/>
          </w:tcPr>
          <w:p w14:paraId="2B3703B9" w14:textId="77777777" w:rsidR="00674B6B" w:rsidRDefault="00B10E7A">
            <w:pPr>
              <w:pStyle w:val="NoSpacing"/>
              <w:spacing w:before="280"/>
            </w:pPr>
            <w:r>
              <w:t>PPV</w:t>
            </w:r>
          </w:p>
        </w:tc>
        <w:tc>
          <w:tcPr>
            <w:tcW w:w="936" w:type="dxa"/>
            <w:tcBorders>
              <w:top w:val="nil"/>
              <w:bottom w:val="nil"/>
            </w:tcBorders>
            <w:shd w:val="clear" w:color="auto" w:fill="auto"/>
            <w:vAlign w:val="bottom"/>
          </w:tcPr>
          <w:p w14:paraId="78968FAB" w14:textId="77777777" w:rsidR="00674B6B" w:rsidRDefault="00B10E7A">
            <w:pPr>
              <w:pStyle w:val="NoSpacing"/>
              <w:spacing w:before="280"/>
              <w:jc w:val="right"/>
            </w:pPr>
            <w:r>
              <w:t>0.463</w:t>
            </w:r>
          </w:p>
        </w:tc>
        <w:tc>
          <w:tcPr>
            <w:tcW w:w="936" w:type="dxa"/>
            <w:tcBorders>
              <w:top w:val="nil"/>
              <w:bottom w:val="nil"/>
            </w:tcBorders>
            <w:shd w:val="clear" w:color="auto" w:fill="auto"/>
            <w:vAlign w:val="bottom"/>
          </w:tcPr>
          <w:p w14:paraId="43128D8E" w14:textId="77777777" w:rsidR="00674B6B" w:rsidRDefault="00B10E7A">
            <w:pPr>
              <w:pStyle w:val="NoSpacing"/>
              <w:spacing w:before="280"/>
              <w:jc w:val="right"/>
            </w:pPr>
            <w:r>
              <w:t>0.509</w:t>
            </w:r>
          </w:p>
        </w:tc>
        <w:tc>
          <w:tcPr>
            <w:tcW w:w="936" w:type="dxa"/>
            <w:tcBorders>
              <w:top w:val="nil"/>
              <w:bottom w:val="nil"/>
            </w:tcBorders>
            <w:shd w:val="clear" w:color="auto" w:fill="auto"/>
            <w:vAlign w:val="bottom"/>
          </w:tcPr>
          <w:p w14:paraId="39CD52EF" w14:textId="77777777" w:rsidR="00674B6B" w:rsidRDefault="00B10E7A">
            <w:pPr>
              <w:pStyle w:val="NoSpacing"/>
              <w:spacing w:before="280"/>
              <w:jc w:val="right"/>
            </w:pPr>
            <w:r>
              <w:t>0.762</w:t>
            </w:r>
          </w:p>
        </w:tc>
        <w:tc>
          <w:tcPr>
            <w:tcW w:w="937" w:type="dxa"/>
            <w:tcBorders>
              <w:top w:val="nil"/>
              <w:bottom w:val="nil"/>
            </w:tcBorders>
            <w:shd w:val="clear" w:color="auto" w:fill="auto"/>
            <w:vAlign w:val="bottom"/>
          </w:tcPr>
          <w:p w14:paraId="14F36634" w14:textId="77777777" w:rsidR="00674B6B" w:rsidRDefault="00B10E7A">
            <w:pPr>
              <w:pStyle w:val="NoSpacing"/>
              <w:spacing w:before="280"/>
              <w:jc w:val="right"/>
            </w:pPr>
            <w:r>
              <w:t>0.749</w:t>
            </w:r>
          </w:p>
        </w:tc>
        <w:tc>
          <w:tcPr>
            <w:tcW w:w="934" w:type="dxa"/>
            <w:tcBorders>
              <w:top w:val="nil"/>
              <w:bottom w:val="nil"/>
            </w:tcBorders>
            <w:shd w:val="clear" w:color="auto" w:fill="auto"/>
            <w:vAlign w:val="bottom"/>
          </w:tcPr>
          <w:p w14:paraId="58A4A863" w14:textId="77777777" w:rsidR="00674B6B" w:rsidRDefault="00B10E7A">
            <w:pPr>
              <w:pStyle w:val="NoSpacing"/>
              <w:spacing w:before="280"/>
              <w:jc w:val="right"/>
            </w:pPr>
            <w:r>
              <w:t>0.621</w:t>
            </w:r>
          </w:p>
        </w:tc>
      </w:tr>
      <w:tr w:rsidR="00674B6B" w14:paraId="49756861" w14:textId="77777777" w:rsidTr="00BD3A70">
        <w:trPr>
          <w:trHeight w:val="378"/>
        </w:trPr>
        <w:tc>
          <w:tcPr>
            <w:tcW w:w="2098" w:type="dxa"/>
            <w:tcBorders>
              <w:top w:val="nil"/>
              <w:bottom w:val="nil"/>
            </w:tcBorders>
            <w:shd w:val="clear" w:color="auto" w:fill="auto"/>
            <w:vAlign w:val="bottom"/>
          </w:tcPr>
          <w:p w14:paraId="15A8DBCA" w14:textId="77777777" w:rsidR="00674B6B" w:rsidRDefault="00B10E7A">
            <w:pPr>
              <w:pStyle w:val="NoSpacing"/>
              <w:spacing w:before="280"/>
            </w:pPr>
            <w:r>
              <w:t>Expansion step 3 (335)</w:t>
            </w:r>
          </w:p>
        </w:tc>
        <w:tc>
          <w:tcPr>
            <w:tcW w:w="1045" w:type="dxa"/>
            <w:tcBorders>
              <w:top w:val="nil"/>
              <w:bottom w:val="nil"/>
            </w:tcBorders>
            <w:shd w:val="clear" w:color="auto" w:fill="auto"/>
            <w:vAlign w:val="bottom"/>
          </w:tcPr>
          <w:p w14:paraId="0A049546" w14:textId="77777777" w:rsidR="00674B6B" w:rsidRDefault="00B10E7A">
            <w:pPr>
              <w:pStyle w:val="NoSpacing"/>
              <w:spacing w:before="280"/>
            </w:pPr>
            <w:r>
              <w:t>Sensitivity</w:t>
            </w:r>
          </w:p>
        </w:tc>
        <w:tc>
          <w:tcPr>
            <w:tcW w:w="936" w:type="dxa"/>
            <w:tcBorders>
              <w:top w:val="nil"/>
              <w:bottom w:val="nil"/>
            </w:tcBorders>
            <w:shd w:val="clear" w:color="auto" w:fill="auto"/>
            <w:vAlign w:val="bottom"/>
          </w:tcPr>
          <w:p w14:paraId="6CDF5D71" w14:textId="77777777" w:rsidR="00674B6B" w:rsidRDefault="00B10E7A">
            <w:pPr>
              <w:pStyle w:val="NoSpacing"/>
              <w:spacing w:before="280"/>
              <w:jc w:val="right"/>
            </w:pPr>
            <w:r>
              <w:t>0.929</w:t>
            </w:r>
          </w:p>
        </w:tc>
        <w:tc>
          <w:tcPr>
            <w:tcW w:w="936" w:type="dxa"/>
            <w:tcBorders>
              <w:top w:val="nil"/>
              <w:bottom w:val="nil"/>
            </w:tcBorders>
            <w:shd w:val="clear" w:color="auto" w:fill="auto"/>
            <w:vAlign w:val="bottom"/>
          </w:tcPr>
          <w:p w14:paraId="5010AF09" w14:textId="77777777" w:rsidR="00674B6B" w:rsidRDefault="00B10E7A">
            <w:pPr>
              <w:pStyle w:val="NoSpacing"/>
              <w:spacing w:before="280"/>
              <w:jc w:val="right"/>
            </w:pPr>
            <w:r>
              <w:t>1.000</w:t>
            </w:r>
          </w:p>
        </w:tc>
        <w:tc>
          <w:tcPr>
            <w:tcW w:w="936" w:type="dxa"/>
            <w:tcBorders>
              <w:top w:val="nil"/>
              <w:bottom w:val="nil"/>
            </w:tcBorders>
            <w:shd w:val="clear" w:color="auto" w:fill="auto"/>
            <w:vAlign w:val="bottom"/>
          </w:tcPr>
          <w:p w14:paraId="2B17D732" w14:textId="77777777" w:rsidR="00674B6B" w:rsidRDefault="00B10E7A">
            <w:pPr>
              <w:pStyle w:val="NoSpacing"/>
              <w:spacing w:before="280"/>
              <w:jc w:val="right"/>
            </w:pPr>
            <w:r>
              <w:t>1.000</w:t>
            </w:r>
          </w:p>
        </w:tc>
        <w:tc>
          <w:tcPr>
            <w:tcW w:w="937" w:type="dxa"/>
            <w:tcBorders>
              <w:top w:val="nil"/>
              <w:bottom w:val="nil"/>
            </w:tcBorders>
            <w:shd w:val="clear" w:color="auto" w:fill="auto"/>
            <w:vAlign w:val="bottom"/>
          </w:tcPr>
          <w:p w14:paraId="4CA7545B" w14:textId="77777777" w:rsidR="00674B6B" w:rsidRDefault="00B10E7A">
            <w:pPr>
              <w:pStyle w:val="NoSpacing"/>
              <w:spacing w:before="280"/>
              <w:jc w:val="right"/>
            </w:pPr>
            <w:r>
              <w:t>0.882</w:t>
            </w:r>
          </w:p>
        </w:tc>
        <w:tc>
          <w:tcPr>
            <w:tcW w:w="934" w:type="dxa"/>
            <w:tcBorders>
              <w:top w:val="nil"/>
              <w:bottom w:val="nil"/>
            </w:tcBorders>
            <w:shd w:val="clear" w:color="auto" w:fill="auto"/>
            <w:vAlign w:val="bottom"/>
          </w:tcPr>
          <w:p w14:paraId="4A5C13EE" w14:textId="77777777" w:rsidR="00674B6B" w:rsidRDefault="00B10E7A">
            <w:pPr>
              <w:pStyle w:val="NoSpacing"/>
              <w:spacing w:before="280"/>
              <w:jc w:val="right"/>
            </w:pPr>
            <w:r>
              <w:t>0.953</w:t>
            </w:r>
          </w:p>
        </w:tc>
      </w:tr>
      <w:tr w:rsidR="00674B6B" w14:paraId="24AB0D1B" w14:textId="77777777" w:rsidTr="00BD3A70">
        <w:trPr>
          <w:trHeight w:val="20"/>
        </w:trPr>
        <w:tc>
          <w:tcPr>
            <w:tcW w:w="2098" w:type="dxa"/>
            <w:tcBorders>
              <w:top w:val="nil"/>
              <w:bottom w:val="nil"/>
            </w:tcBorders>
            <w:shd w:val="clear" w:color="auto" w:fill="auto"/>
            <w:vAlign w:val="bottom"/>
          </w:tcPr>
          <w:p w14:paraId="38321FB0" w14:textId="77777777" w:rsidR="00674B6B" w:rsidRDefault="00674B6B">
            <w:pPr>
              <w:pStyle w:val="NoSpacing"/>
              <w:spacing w:before="280"/>
            </w:pPr>
          </w:p>
        </w:tc>
        <w:tc>
          <w:tcPr>
            <w:tcW w:w="1045" w:type="dxa"/>
            <w:tcBorders>
              <w:top w:val="nil"/>
              <w:bottom w:val="nil"/>
            </w:tcBorders>
            <w:shd w:val="clear" w:color="auto" w:fill="auto"/>
            <w:vAlign w:val="bottom"/>
          </w:tcPr>
          <w:p w14:paraId="75F68398" w14:textId="77777777" w:rsidR="00674B6B" w:rsidRDefault="00B10E7A">
            <w:pPr>
              <w:pStyle w:val="NoSpacing"/>
              <w:spacing w:before="280"/>
            </w:pPr>
            <w:r>
              <w:t>PPV</w:t>
            </w:r>
          </w:p>
        </w:tc>
        <w:tc>
          <w:tcPr>
            <w:tcW w:w="936" w:type="dxa"/>
            <w:tcBorders>
              <w:top w:val="nil"/>
              <w:bottom w:val="nil"/>
            </w:tcBorders>
            <w:shd w:val="clear" w:color="auto" w:fill="auto"/>
            <w:vAlign w:val="bottom"/>
          </w:tcPr>
          <w:p w14:paraId="0D234433" w14:textId="77777777" w:rsidR="00674B6B" w:rsidRDefault="00B10E7A">
            <w:pPr>
              <w:pStyle w:val="NoSpacing"/>
              <w:spacing w:before="280"/>
              <w:jc w:val="right"/>
            </w:pPr>
            <w:r>
              <w:t>0.462</w:t>
            </w:r>
          </w:p>
        </w:tc>
        <w:tc>
          <w:tcPr>
            <w:tcW w:w="936" w:type="dxa"/>
            <w:tcBorders>
              <w:top w:val="nil"/>
              <w:bottom w:val="nil"/>
            </w:tcBorders>
            <w:shd w:val="clear" w:color="auto" w:fill="auto"/>
            <w:vAlign w:val="bottom"/>
          </w:tcPr>
          <w:p w14:paraId="1CFC143F" w14:textId="77777777" w:rsidR="00674B6B" w:rsidRDefault="00B10E7A">
            <w:pPr>
              <w:pStyle w:val="NoSpacing"/>
              <w:spacing w:before="280"/>
              <w:jc w:val="right"/>
            </w:pPr>
            <w:r>
              <w:t>0.498</w:t>
            </w:r>
          </w:p>
        </w:tc>
        <w:tc>
          <w:tcPr>
            <w:tcW w:w="936" w:type="dxa"/>
            <w:tcBorders>
              <w:top w:val="nil"/>
              <w:bottom w:val="nil"/>
            </w:tcBorders>
            <w:shd w:val="clear" w:color="auto" w:fill="auto"/>
            <w:vAlign w:val="bottom"/>
          </w:tcPr>
          <w:p w14:paraId="0DA185D0" w14:textId="77777777" w:rsidR="00674B6B" w:rsidRDefault="00B10E7A">
            <w:pPr>
              <w:pStyle w:val="NoSpacing"/>
              <w:spacing w:before="280"/>
              <w:jc w:val="right"/>
            </w:pPr>
            <w:r>
              <w:t>0.762</w:t>
            </w:r>
          </w:p>
        </w:tc>
        <w:tc>
          <w:tcPr>
            <w:tcW w:w="937" w:type="dxa"/>
            <w:tcBorders>
              <w:top w:val="nil"/>
              <w:bottom w:val="nil"/>
            </w:tcBorders>
            <w:shd w:val="clear" w:color="auto" w:fill="auto"/>
            <w:vAlign w:val="bottom"/>
          </w:tcPr>
          <w:p w14:paraId="089736A3" w14:textId="77777777" w:rsidR="00674B6B" w:rsidRDefault="00B10E7A">
            <w:pPr>
              <w:pStyle w:val="NoSpacing"/>
              <w:spacing w:before="280"/>
              <w:jc w:val="right"/>
            </w:pPr>
            <w:r>
              <w:t>0.742</w:t>
            </w:r>
          </w:p>
        </w:tc>
        <w:tc>
          <w:tcPr>
            <w:tcW w:w="934" w:type="dxa"/>
            <w:tcBorders>
              <w:top w:val="nil"/>
              <w:bottom w:val="nil"/>
            </w:tcBorders>
            <w:shd w:val="clear" w:color="auto" w:fill="auto"/>
            <w:vAlign w:val="bottom"/>
          </w:tcPr>
          <w:p w14:paraId="2C17B5ED" w14:textId="77777777" w:rsidR="00674B6B" w:rsidRDefault="00B10E7A">
            <w:pPr>
              <w:pStyle w:val="NoSpacing"/>
              <w:spacing w:before="280"/>
              <w:jc w:val="right"/>
            </w:pPr>
            <w:r>
              <w:t>0.616</w:t>
            </w:r>
          </w:p>
        </w:tc>
      </w:tr>
    </w:tbl>
    <w:p w14:paraId="51228DA3" w14:textId="77777777" w:rsidR="00674B6B" w:rsidRDefault="00B10E7A">
      <w:pPr>
        <w:spacing w:beforeAutospacing="0" w:after="200" w:afterAutospacing="0" w:line="276" w:lineRule="auto"/>
      </w:pPr>
      <w:r>
        <w:br w:type="page"/>
      </w:r>
    </w:p>
    <w:p w14:paraId="35A09556" w14:textId="0E138C74" w:rsidR="00674B6B" w:rsidRDefault="00B10E7A" w:rsidP="00BD3A70">
      <w:pPr>
        <w:pStyle w:val="Caption"/>
        <w:keepNext/>
      </w:pPr>
      <w:bookmarkStart w:id="5" w:name="_Ref445743813"/>
      <w:proofErr w:type="gramStart"/>
      <w:r>
        <w:lastRenderedPageBreak/>
        <w:t xml:space="preserve">Table </w:t>
      </w:r>
      <w:proofErr w:type="gramEnd"/>
      <w:r>
        <w:fldChar w:fldCharType="begin"/>
      </w:r>
      <w:r>
        <w:instrText>SEQ Table \* ARABIC</w:instrText>
      </w:r>
      <w:r>
        <w:fldChar w:fldCharType="separate"/>
      </w:r>
      <w:r w:rsidR="00406051">
        <w:rPr>
          <w:noProof/>
        </w:rPr>
        <w:t>3</w:t>
      </w:r>
      <w:r>
        <w:fldChar w:fldCharType="end"/>
      </w:r>
      <w:bookmarkEnd w:id="5"/>
      <w:proofErr w:type="gramStart"/>
      <w:r>
        <w:t>: Number of false</w:t>
      </w:r>
      <w:r w:rsidR="008C2714">
        <w:t>-</w:t>
      </w:r>
      <w:r>
        <w:t>positive codes after three expansion steps by vocabulary and error category, and their percentage of all false</w:t>
      </w:r>
      <w:r w:rsidR="008C2714">
        <w:t>-</w:t>
      </w:r>
      <w:r>
        <w:t>positive codes.</w:t>
      </w:r>
      <w:proofErr w:type="gramEnd"/>
    </w:p>
    <w:tbl>
      <w:tblPr>
        <w:tblStyle w:val="TableGrid"/>
        <w:tblW w:w="4979" w:type="dxa"/>
        <w:tblLook w:val="0000" w:firstRow="0" w:lastRow="0" w:firstColumn="0" w:lastColumn="0" w:noHBand="0" w:noVBand="0"/>
      </w:tblPr>
      <w:tblGrid>
        <w:gridCol w:w="1422"/>
        <w:gridCol w:w="1491"/>
        <w:gridCol w:w="851"/>
        <w:gridCol w:w="1215"/>
      </w:tblGrid>
      <w:tr w:rsidR="00674B6B" w14:paraId="38396D49" w14:textId="77777777" w:rsidTr="00BD3A70">
        <w:trPr>
          <w:trHeight w:val="351"/>
        </w:trPr>
        <w:tc>
          <w:tcPr>
            <w:tcW w:w="1421" w:type="dxa"/>
            <w:tcBorders>
              <w:top w:val="nil"/>
              <w:bottom w:val="nil"/>
            </w:tcBorders>
            <w:shd w:val="clear" w:color="auto" w:fill="auto"/>
          </w:tcPr>
          <w:p w14:paraId="6C8DC607" w14:textId="77777777" w:rsidR="00674B6B" w:rsidRDefault="00B10E7A">
            <w:pPr>
              <w:pStyle w:val="NoSpacing"/>
              <w:spacing w:before="100"/>
            </w:pPr>
            <w:r>
              <w:rPr>
                <w:b/>
              </w:rPr>
              <w:t>Vocabulary</w:t>
            </w:r>
          </w:p>
        </w:tc>
        <w:tc>
          <w:tcPr>
            <w:tcW w:w="1491" w:type="dxa"/>
            <w:tcBorders>
              <w:top w:val="nil"/>
              <w:bottom w:val="nil"/>
            </w:tcBorders>
            <w:shd w:val="clear" w:color="auto" w:fill="auto"/>
          </w:tcPr>
          <w:p w14:paraId="15F2E6D1" w14:textId="77777777" w:rsidR="00674B6B" w:rsidRDefault="00B10E7A">
            <w:pPr>
              <w:pStyle w:val="NoSpacing"/>
              <w:spacing w:before="280"/>
              <w:rPr>
                <w:b/>
              </w:rPr>
            </w:pPr>
            <w:r>
              <w:rPr>
                <w:b/>
              </w:rPr>
              <w:t>FP category</w:t>
            </w:r>
          </w:p>
        </w:tc>
        <w:tc>
          <w:tcPr>
            <w:tcW w:w="851" w:type="dxa"/>
            <w:tcBorders>
              <w:top w:val="nil"/>
              <w:bottom w:val="nil"/>
            </w:tcBorders>
            <w:shd w:val="clear" w:color="auto" w:fill="auto"/>
          </w:tcPr>
          <w:p w14:paraId="228DA589" w14:textId="77777777" w:rsidR="00674B6B" w:rsidRDefault="00B10E7A">
            <w:pPr>
              <w:pStyle w:val="NoSpacing"/>
              <w:spacing w:before="280"/>
              <w:jc w:val="right"/>
            </w:pPr>
            <w:r>
              <w:rPr>
                <w:b/>
              </w:rPr>
              <w:t>Count</w:t>
            </w:r>
          </w:p>
        </w:tc>
        <w:tc>
          <w:tcPr>
            <w:tcW w:w="1215" w:type="dxa"/>
            <w:tcBorders>
              <w:top w:val="nil"/>
              <w:bottom w:val="nil"/>
            </w:tcBorders>
            <w:shd w:val="clear" w:color="auto" w:fill="auto"/>
          </w:tcPr>
          <w:p w14:paraId="2F1448CB" w14:textId="77777777" w:rsidR="00674B6B" w:rsidRDefault="00B10E7A">
            <w:pPr>
              <w:pStyle w:val="NoSpacing"/>
              <w:spacing w:before="280"/>
              <w:jc w:val="right"/>
            </w:pPr>
            <w:r>
              <w:rPr>
                <w:b/>
              </w:rPr>
              <w:t>Percentage</w:t>
            </w:r>
          </w:p>
        </w:tc>
      </w:tr>
      <w:tr w:rsidR="00674B6B" w14:paraId="075B8540" w14:textId="77777777" w:rsidTr="00BD3A70">
        <w:trPr>
          <w:trHeight w:val="351"/>
        </w:trPr>
        <w:tc>
          <w:tcPr>
            <w:tcW w:w="1421" w:type="dxa"/>
            <w:tcBorders>
              <w:bottom w:val="nil"/>
            </w:tcBorders>
            <w:shd w:val="clear" w:color="auto" w:fill="auto"/>
            <w:vAlign w:val="bottom"/>
          </w:tcPr>
          <w:p w14:paraId="0E2265AF" w14:textId="77777777" w:rsidR="00674B6B" w:rsidRDefault="00B10E7A">
            <w:pPr>
              <w:pStyle w:val="NoSpacing"/>
              <w:spacing w:before="100"/>
            </w:pPr>
            <w:r>
              <w:t>ICD-9 CM</w:t>
            </w:r>
          </w:p>
        </w:tc>
        <w:tc>
          <w:tcPr>
            <w:tcW w:w="1491" w:type="dxa"/>
            <w:tcBorders>
              <w:bottom w:val="nil"/>
            </w:tcBorders>
            <w:shd w:val="clear" w:color="auto" w:fill="auto"/>
            <w:vAlign w:val="bottom"/>
          </w:tcPr>
          <w:p w14:paraId="58A3AE15" w14:textId="77777777" w:rsidR="00674B6B" w:rsidRDefault="00B10E7A">
            <w:pPr>
              <w:pStyle w:val="NoSpacing"/>
              <w:spacing w:before="280"/>
            </w:pPr>
            <w:r>
              <w:t>With TP sibling</w:t>
            </w:r>
          </w:p>
        </w:tc>
        <w:tc>
          <w:tcPr>
            <w:tcW w:w="851" w:type="dxa"/>
            <w:tcBorders>
              <w:bottom w:val="nil"/>
            </w:tcBorders>
            <w:shd w:val="clear" w:color="auto" w:fill="auto"/>
            <w:vAlign w:val="bottom"/>
          </w:tcPr>
          <w:p w14:paraId="1A5A4EB9" w14:textId="77777777" w:rsidR="00674B6B" w:rsidRDefault="00B10E7A">
            <w:pPr>
              <w:pStyle w:val="NoSpacing"/>
              <w:spacing w:before="280"/>
              <w:jc w:val="right"/>
            </w:pPr>
            <w:r>
              <w:t>52</w:t>
            </w:r>
          </w:p>
        </w:tc>
        <w:tc>
          <w:tcPr>
            <w:tcW w:w="1215" w:type="dxa"/>
            <w:tcBorders>
              <w:bottom w:val="nil"/>
            </w:tcBorders>
            <w:shd w:val="clear" w:color="auto" w:fill="auto"/>
            <w:vAlign w:val="bottom"/>
          </w:tcPr>
          <w:p w14:paraId="158AC2B0" w14:textId="77777777" w:rsidR="00674B6B" w:rsidRDefault="00B10E7A">
            <w:pPr>
              <w:pStyle w:val="NoSpacing"/>
              <w:spacing w:before="280"/>
              <w:jc w:val="right"/>
            </w:pPr>
            <w:r>
              <w:t>22.2%</w:t>
            </w:r>
          </w:p>
        </w:tc>
      </w:tr>
      <w:tr w:rsidR="00674B6B" w14:paraId="1D793B56" w14:textId="77777777" w:rsidTr="00BD3A70">
        <w:trPr>
          <w:trHeight w:val="20"/>
        </w:trPr>
        <w:tc>
          <w:tcPr>
            <w:tcW w:w="1421" w:type="dxa"/>
            <w:tcBorders>
              <w:top w:val="nil"/>
              <w:bottom w:val="nil"/>
            </w:tcBorders>
            <w:shd w:val="clear" w:color="auto" w:fill="auto"/>
            <w:vAlign w:val="bottom"/>
          </w:tcPr>
          <w:p w14:paraId="5D139B46" w14:textId="77777777" w:rsidR="00674B6B" w:rsidRDefault="00674B6B">
            <w:pPr>
              <w:pStyle w:val="NoSpacing"/>
              <w:spacing w:before="100"/>
            </w:pPr>
          </w:p>
        </w:tc>
        <w:tc>
          <w:tcPr>
            <w:tcW w:w="1491" w:type="dxa"/>
            <w:tcBorders>
              <w:top w:val="nil"/>
              <w:bottom w:val="nil"/>
            </w:tcBorders>
            <w:shd w:val="clear" w:color="auto" w:fill="auto"/>
            <w:vAlign w:val="bottom"/>
          </w:tcPr>
          <w:p w14:paraId="5438C104" w14:textId="77777777" w:rsidR="00674B6B" w:rsidRDefault="00B10E7A">
            <w:pPr>
              <w:pStyle w:val="NoSpacing"/>
              <w:spacing w:before="280"/>
            </w:pPr>
            <w:r>
              <w:t>No TP sibling</w:t>
            </w:r>
          </w:p>
        </w:tc>
        <w:tc>
          <w:tcPr>
            <w:tcW w:w="851" w:type="dxa"/>
            <w:tcBorders>
              <w:top w:val="nil"/>
              <w:bottom w:val="nil"/>
            </w:tcBorders>
            <w:shd w:val="clear" w:color="auto" w:fill="auto"/>
            <w:vAlign w:val="bottom"/>
          </w:tcPr>
          <w:p w14:paraId="2051A892" w14:textId="77777777" w:rsidR="00674B6B" w:rsidRDefault="00B10E7A">
            <w:pPr>
              <w:pStyle w:val="NoSpacing"/>
              <w:spacing w:before="280"/>
              <w:jc w:val="right"/>
            </w:pPr>
            <w:r>
              <w:t>22</w:t>
            </w:r>
          </w:p>
        </w:tc>
        <w:tc>
          <w:tcPr>
            <w:tcW w:w="1215" w:type="dxa"/>
            <w:tcBorders>
              <w:top w:val="nil"/>
              <w:bottom w:val="nil"/>
            </w:tcBorders>
            <w:shd w:val="clear" w:color="auto" w:fill="auto"/>
            <w:vAlign w:val="bottom"/>
          </w:tcPr>
          <w:p w14:paraId="77BCB503" w14:textId="77777777" w:rsidR="00674B6B" w:rsidRDefault="00B10E7A">
            <w:pPr>
              <w:pStyle w:val="NoSpacing"/>
              <w:spacing w:before="280"/>
              <w:jc w:val="right"/>
            </w:pPr>
            <w:r>
              <w:t>9.4%</w:t>
            </w:r>
          </w:p>
        </w:tc>
      </w:tr>
      <w:tr w:rsidR="00674B6B" w14:paraId="5B22BAE2" w14:textId="77777777" w:rsidTr="00BD3A70">
        <w:trPr>
          <w:trHeight w:val="360"/>
        </w:trPr>
        <w:tc>
          <w:tcPr>
            <w:tcW w:w="1421" w:type="dxa"/>
            <w:tcBorders>
              <w:top w:val="nil"/>
              <w:bottom w:val="nil"/>
            </w:tcBorders>
            <w:shd w:val="clear" w:color="auto" w:fill="auto"/>
            <w:vAlign w:val="bottom"/>
          </w:tcPr>
          <w:p w14:paraId="4EE626D6" w14:textId="77777777" w:rsidR="00674B6B" w:rsidRDefault="00B10E7A">
            <w:pPr>
              <w:pStyle w:val="NoSpacing"/>
              <w:spacing w:before="100"/>
            </w:pPr>
            <w:r>
              <w:t>ICD-10</w:t>
            </w:r>
          </w:p>
        </w:tc>
        <w:tc>
          <w:tcPr>
            <w:tcW w:w="1491" w:type="dxa"/>
            <w:tcBorders>
              <w:top w:val="nil"/>
              <w:bottom w:val="nil"/>
            </w:tcBorders>
            <w:shd w:val="clear" w:color="auto" w:fill="auto"/>
            <w:vAlign w:val="bottom"/>
          </w:tcPr>
          <w:p w14:paraId="6E6CBC5A" w14:textId="77777777" w:rsidR="00674B6B" w:rsidRDefault="00B10E7A">
            <w:pPr>
              <w:pStyle w:val="NoSpacing"/>
              <w:spacing w:before="280"/>
            </w:pPr>
            <w:r>
              <w:t>With TP sibling</w:t>
            </w:r>
          </w:p>
        </w:tc>
        <w:tc>
          <w:tcPr>
            <w:tcW w:w="851" w:type="dxa"/>
            <w:tcBorders>
              <w:top w:val="nil"/>
              <w:bottom w:val="nil"/>
            </w:tcBorders>
            <w:shd w:val="clear" w:color="auto" w:fill="auto"/>
            <w:vAlign w:val="bottom"/>
          </w:tcPr>
          <w:p w14:paraId="5C82B604" w14:textId="77777777" w:rsidR="00674B6B" w:rsidRDefault="00B10E7A">
            <w:pPr>
              <w:pStyle w:val="NoSpacing"/>
              <w:spacing w:before="280"/>
              <w:jc w:val="right"/>
            </w:pPr>
            <w:r>
              <w:t>66</w:t>
            </w:r>
          </w:p>
        </w:tc>
        <w:tc>
          <w:tcPr>
            <w:tcW w:w="1215" w:type="dxa"/>
            <w:tcBorders>
              <w:top w:val="nil"/>
              <w:bottom w:val="nil"/>
            </w:tcBorders>
            <w:shd w:val="clear" w:color="auto" w:fill="auto"/>
            <w:vAlign w:val="bottom"/>
          </w:tcPr>
          <w:p w14:paraId="1D8D91E5" w14:textId="77777777" w:rsidR="00674B6B" w:rsidRDefault="00B10E7A">
            <w:pPr>
              <w:pStyle w:val="NoSpacing"/>
              <w:spacing w:before="280"/>
              <w:jc w:val="right"/>
            </w:pPr>
            <w:r>
              <w:t>28.2%</w:t>
            </w:r>
          </w:p>
        </w:tc>
      </w:tr>
      <w:tr w:rsidR="00674B6B" w14:paraId="2D5029CF" w14:textId="77777777" w:rsidTr="00BD3A70">
        <w:trPr>
          <w:trHeight w:val="20"/>
        </w:trPr>
        <w:tc>
          <w:tcPr>
            <w:tcW w:w="1421" w:type="dxa"/>
            <w:tcBorders>
              <w:top w:val="nil"/>
              <w:bottom w:val="nil"/>
            </w:tcBorders>
            <w:shd w:val="clear" w:color="auto" w:fill="auto"/>
            <w:vAlign w:val="bottom"/>
          </w:tcPr>
          <w:p w14:paraId="5E684EE2" w14:textId="77777777" w:rsidR="00674B6B" w:rsidRDefault="00674B6B">
            <w:pPr>
              <w:pStyle w:val="NoSpacing"/>
              <w:spacing w:before="100"/>
            </w:pPr>
          </w:p>
        </w:tc>
        <w:tc>
          <w:tcPr>
            <w:tcW w:w="1491" w:type="dxa"/>
            <w:tcBorders>
              <w:top w:val="nil"/>
              <w:bottom w:val="nil"/>
            </w:tcBorders>
            <w:shd w:val="clear" w:color="auto" w:fill="auto"/>
            <w:vAlign w:val="bottom"/>
          </w:tcPr>
          <w:p w14:paraId="62A72BAF" w14:textId="77777777" w:rsidR="00674B6B" w:rsidRDefault="00B10E7A">
            <w:pPr>
              <w:pStyle w:val="NoSpacing"/>
              <w:spacing w:before="280"/>
            </w:pPr>
            <w:r>
              <w:t>No TP sibling</w:t>
            </w:r>
          </w:p>
        </w:tc>
        <w:tc>
          <w:tcPr>
            <w:tcW w:w="851" w:type="dxa"/>
            <w:tcBorders>
              <w:top w:val="nil"/>
              <w:bottom w:val="nil"/>
            </w:tcBorders>
            <w:shd w:val="clear" w:color="auto" w:fill="auto"/>
            <w:vAlign w:val="bottom"/>
          </w:tcPr>
          <w:p w14:paraId="4243D4E1" w14:textId="77777777" w:rsidR="00674B6B" w:rsidRDefault="00B10E7A">
            <w:pPr>
              <w:pStyle w:val="NoSpacing"/>
              <w:spacing w:before="280"/>
              <w:jc w:val="right"/>
            </w:pPr>
            <w:r>
              <w:t>30</w:t>
            </w:r>
          </w:p>
        </w:tc>
        <w:tc>
          <w:tcPr>
            <w:tcW w:w="1215" w:type="dxa"/>
            <w:tcBorders>
              <w:top w:val="nil"/>
              <w:bottom w:val="nil"/>
            </w:tcBorders>
            <w:shd w:val="clear" w:color="auto" w:fill="auto"/>
            <w:vAlign w:val="bottom"/>
          </w:tcPr>
          <w:p w14:paraId="3F4AA2B1" w14:textId="77777777" w:rsidR="00674B6B" w:rsidRDefault="00B10E7A">
            <w:pPr>
              <w:pStyle w:val="NoSpacing"/>
              <w:spacing w:before="280"/>
              <w:jc w:val="right"/>
            </w:pPr>
            <w:r>
              <w:t>12.8%</w:t>
            </w:r>
          </w:p>
        </w:tc>
      </w:tr>
      <w:tr w:rsidR="00674B6B" w14:paraId="2AFDA89F" w14:textId="77777777" w:rsidTr="00BD3A70">
        <w:trPr>
          <w:trHeight w:val="387"/>
        </w:trPr>
        <w:tc>
          <w:tcPr>
            <w:tcW w:w="1421" w:type="dxa"/>
            <w:tcBorders>
              <w:top w:val="nil"/>
              <w:bottom w:val="nil"/>
            </w:tcBorders>
            <w:shd w:val="clear" w:color="auto" w:fill="auto"/>
            <w:vAlign w:val="bottom"/>
          </w:tcPr>
          <w:p w14:paraId="7760A4F1" w14:textId="77777777" w:rsidR="00674B6B" w:rsidRDefault="00B10E7A">
            <w:pPr>
              <w:pStyle w:val="NoSpacing"/>
              <w:spacing w:before="100"/>
            </w:pPr>
            <w:r>
              <w:t>ICPC-2</w:t>
            </w:r>
          </w:p>
        </w:tc>
        <w:tc>
          <w:tcPr>
            <w:tcW w:w="1491" w:type="dxa"/>
            <w:tcBorders>
              <w:top w:val="nil"/>
              <w:bottom w:val="nil"/>
            </w:tcBorders>
            <w:shd w:val="clear" w:color="auto" w:fill="auto"/>
            <w:vAlign w:val="bottom"/>
          </w:tcPr>
          <w:p w14:paraId="51A49AF9" w14:textId="77777777" w:rsidR="00674B6B" w:rsidRDefault="00B10E7A">
            <w:pPr>
              <w:pStyle w:val="NoSpacing"/>
              <w:spacing w:before="280"/>
            </w:pPr>
            <w:r>
              <w:t>With TP sibling</w:t>
            </w:r>
          </w:p>
        </w:tc>
        <w:tc>
          <w:tcPr>
            <w:tcW w:w="851" w:type="dxa"/>
            <w:tcBorders>
              <w:top w:val="nil"/>
              <w:bottom w:val="nil"/>
            </w:tcBorders>
            <w:shd w:val="clear" w:color="auto" w:fill="auto"/>
            <w:vAlign w:val="bottom"/>
          </w:tcPr>
          <w:p w14:paraId="32DA322D" w14:textId="77777777" w:rsidR="00674B6B" w:rsidRDefault="00B10E7A">
            <w:pPr>
              <w:pStyle w:val="NoSpacing"/>
              <w:spacing w:before="280"/>
              <w:jc w:val="right"/>
            </w:pPr>
            <w:r>
              <w:t>3</w:t>
            </w:r>
          </w:p>
        </w:tc>
        <w:tc>
          <w:tcPr>
            <w:tcW w:w="1215" w:type="dxa"/>
            <w:tcBorders>
              <w:top w:val="nil"/>
              <w:bottom w:val="nil"/>
            </w:tcBorders>
            <w:shd w:val="clear" w:color="auto" w:fill="auto"/>
            <w:vAlign w:val="bottom"/>
          </w:tcPr>
          <w:p w14:paraId="77C3BB84" w14:textId="77777777" w:rsidR="00674B6B" w:rsidRDefault="00B10E7A">
            <w:pPr>
              <w:pStyle w:val="NoSpacing"/>
              <w:spacing w:before="280"/>
              <w:jc w:val="right"/>
            </w:pPr>
            <w:r>
              <w:t>1.3%</w:t>
            </w:r>
          </w:p>
        </w:tc>
      </w:tr>
      <w:tr w:rsidR="00674B6B" w14:paraId="4B12088E" w14:textId="77777777" w:rsidTr="00BD3A70">
        <w:trPr>
          <w:trHeight w:val="20"/>
        </w:trPr>
        <w:tc>
          <w:tcPr>
            <w:tcW w:w="1421" w:type="dxa"/>
            <w:tcBorders>
              <w:top w:val="nil"/>
              <w:bottom w:val="nil"/>
            </w:tcBorders>
            <w:shd w:val="clear" w:color="auto" w:fill="auto"/>
            <w:vAlign w:val="bottom"/>
          </w:tcPr>
          <w:p w14:paraId="603AA45E" w14:textId="77777777" w:rsidR="00674B6B" w:rsidRDefault="00674B6B">
            <w:pPr>
              <w:pStyle w:val="NoSpacing"/>
              <w:spacing w:before="100"/>
            </w:pPr>
          </w:p>
        </w:tc>
        <w:tc>
          <w:tcPr>
            <w:tcW w:w="1491" w:type="dxa"/>
            <w:tcBorders>
              <w:top w:val="nil"/>
              <w:bottom w:val="nil"/>
            </w:tcBorders>
            <w:shd w:val="clear" w:color="auto" w:fill="auto"/>
            <w:vAlign w:val="bottom"/>
          </w:tcPr>
          <w:p w14:paraId="44C0845D" w14:textId="77777777" w:rsidR="00674B6B" w:rsidRDefault="00B10E7A">
            <w:pPr>
              <w:pStyle w:val="NoSpacing"/>
              <w:spacing w:before="280"/>
            </w:pPr>
            <w:r>
              <w:t>No TP sibling</w:t>
            </w:r>
          </w:p>
        </w:tc>
        <w:tc>
          <w:tcPr>
            <w:tcW w:w="851" w:type="dxa"/>
            <w:tcBorders>
              <w:top w:val="nil"/>
              <w:bottom w:val="nil"/>
            </w:tcBorders>
            <w:shd w:val="clear" w:color="auto" w:fill="auto"/>
            <w:vAlign w:val="bottom"/>
          </w:tcPr>
          <w:p w14:paraId="28A2B1F0" w14:textId="77777777" w:rsidR="00674B6B" w:rsidRDefault="00B10E7A">
            <w:pPr>
              <w:pStyle w:val="NoSpacing"/>
              <w:spacing w:before="280"/>
              <w:jc w:val="right"/>
            </w:pPr>
            <w:r>
              <w:t>1</w:t>
            </w:r>
          </w:p>
        </w:tc>
        <w:tc>
          <w:tcPr>
            <w:tcW w:w="1215" w:type="dxa"/>
            <w:tcBorders>
              <w:top w:val="nil"/>
              <w:bottom w:val="nil"/>
            </w:tcBorders>
            <w:shd w:val="clear" w:color="auto" w:fill="auto"/>
            <w:vAlign w:val="bottom"/>
          </w:tcPr>
          <w:p w14:paraId="049108FA" w14:textId="77777777" w:rsidR="00674B6B" w:rsidRDefault="00B10E7A">
            <w:pPr>
              <w:pStyle w:val="NoSpacing"/>
              <w:spacing w:before="280"/>
              <w:jc w:val="right"/>
            </w:pPr>
            <w:r>
              <w:t>0.4%</w:t>
            </w:r>
          </w:p>
        </w:tc>
      </w:tr>
      <w:tr w:rsidR="00674B6B" w14:paraId="1A40BB88" w14:textId="77777777" w:rsidTr="00BD3A70">
        <w:trPr>
          <w:trHeight w:val="387"/>
        </w:trPr>
        <w:tc>
          <w:tcPr>
            <w:tcW w:w="1421" w:type="dxa"/>
            <w:tcBorders>
              <w:top w:val="nil"/>
              <w:bottom w:val="nil"/>
            </w:tcBorders>
            <w:shd w:val="clear" w:color="auto" w:fill="auto"/>
            <w:vAlign w:val="bottom"/>
          </w:tcPr>
          <w:p w14:paraId="0DDF1019" w14:textId="77777777" w:rsidR="00674B6B" w:rsidRDefault="00B10E7A">
            <w:pPr>
              <w:pStyle w:val="NoSpacing"/>
              <w:spacing w:before="100"/>
            </w:pPr>
            <w:r>
              <w:t>READ-2</w:t>
            </w:r>
          </w:p>
        </w:tc>
        <w:tc>
          <w:tcPr>
            <w:tcW w:w="1491" w:type="dxa"/>
            <w:tcBorders>
              <w:top w:val="nil"/>
              <w:bottom w:val="nil"/>
            </w:tcBorders>
            <w:shd w:val="clear" w:color="auto" w:fill="auto"/>
            <w:vAlign w:val="bottom"/>
          </w:tcPr>
          <w:p w14:paraId="417940C2" w14:textId="77777777" w:rsidR="00674B6B" w:rsidRDefault="00B10E7A">
            <w:pPr>
              <w:pStyle w:val="NoSpacing"/>
              <w:spacing w:before="280"/>
            </w:pPr>
            <w:r>
              <w:t>With TP sibling</w:t>
            </w:r>
          </w:p>
        </w:tc>
        <w:tc>
          <w:tcPr>
            <w:tcW w:w="851" w:type="dxa"/>
            <w:tcBorders>
              <w:top w:val="nil"/>
              <w:bottom w:val="nil"/>
            </w:tcBorders>
            <w:shd w:val="clear" w:color="auto" w:fill="auto"/>
            <w:vAlign w:val="bottom"/>
          </w:tcPr>
          <w:p w14:paraId="63B63CB9" w14:textId="77777777" w:rsidR="00674B6B" w:rsidRDefault="00B10E7A">
            <w:pPr>
              <w:pStyle w:val="NoSpacing"/>
              <w:spacing w:before="280"/>
              <w:jc w:val="right"/>
            </w:pPr>
            <w:r>
              <w:t>43</w:t>
            </w:r>
          </w:p>
        </w:tc>
        <w:tc>
          <w:tcPr>
            <w:tcW w:w="1215" w:type="dxa"/>
            <w:tcBorders>
              <w:top w:val="nil"/>
              <w:bottom w:val="nil"/>
            </w:tcBorders>
            <w:shd w:val="clear" w:color="auto" w:fill="auto"/>
            <w:vAlign w:val="bottom"/>
          </w:tcPr>
          <w:p w14:paraId="614474C6" w14:textId="77777777" w:rsidR="00674B6B" w:rsidRDefault="00B10E7A">
            <w:pPr>
              <w:pStyle w:val="NoSpacing"/>
              <w:spacing w:before="280"/>
              <w:jc w:val="right"/>
            </w:pPr>
            <w:r>
              <w:t>18.4%</w:t>
            </w:r>
          </w:p>
        </w:tc>
      </w:tr>
      <w:tr w:rsidR="00674B6B" w14:paraId="1777BD36" w14:textId="77777777" w:rsidTr="00BD3A70">
        <w:trPr>
          <w:trHeight w:val="20"/>
        </w:trPr>
        <w:tc>
          <w:tcPr>
            <w:tcW w:w="1421" w:type="dxa"/>
            <w:tcBorders>
              <w:top w:val="nil"/>
              <w:bottom w:val="nil"/>
            </w:tcBorders>
            <w:shd w:val="clear" w:color="auto" w:fill="auto"/>
            <w:vAlign w:val="bottom"/>
          </w:tcPr>
          <w:p w14:paraId="4066FD97" w14:textId="77777777" w:rsidR="00674B6B" w:rsidRDefault="00674B6B">
            <w:pPr>
              <w:pStyle w:val="NoSpacing"/>
              <w:spacing w:before="100"/>
            </w:pPr>
          </w:p>
        </w:tc>
        <w:tc>
          <w:tcPr>
            <w:tcW w:w="1491" w:type="dxa"/>
            <w:tcBorders>
              <w:top w:val="nil"/>
              <w:bottom w:val="nil"/>
            </w:tcBorders>
            <w:shd w:val="clear" w:color="auto" w:fill="auto"/>
            <w:vAlign w:val="bottom"/>
          </w:tcPr>
          <w:p w14:paraId="4A1B51A3" w14:textId="77777777" w:rsidR="00674B6B" w:rsidRDefault="00B10E7A">
            <w:pPr>
              <w:pStyle w:val="NoSpacing"/>
              <w:spacing w:before="280"/>
            </w:pPr>
            <w:r>
              <w:t>No TP sibling</w:t>
            </w:r>
          </w:p>
        </w:tc>
        <w:tc>
          <w:tcPr>
            <w:tcW w:w="851" w:type="dxa"/>
            <w:tcBorders>
              <w:top w:val="nil"/>
              <w:bottom w:val="nil"/>
            </w:tcBorders>
            <w:shd w:val="clear" w:color="auto" w:fill="auto"/>
            <w:vAlign w:val="bottom"/>
          </w:tcPr>
          <w:p w14:paraId="1517B482" w14:textId="77777777" w:rsidR="00674B6B" w:rsidRDefault="00B10E7A">
            <w:pPr>
              <w:pStyle w:val="NoSpacing"/>
              <w:spacing w:before="280"/>
              <w:jc w:val="right"/>
            </w:pPr>
            <w:r>
              <w:t>17</w:t>
            </w:r>
          </w:p>
        </w:tc>
        <w:tc>
          <w:tcPr>
            <w:tcW w:w="1215" w:type="dxa"/>
            <w:tcBorders>
              <w:top w:val="nil"/>
              <w:bottom w:val="nil"/>
            </w:tcBorders>
            <w:shd w:val="clear" w:color="auto" w:fill="auto"/>
            <w:vAlign w:val="bottom"/>
          </w:tcPr>
          <w:p w14:paraId="49748DFB" w14:textId="77777777" w:rsidR="00674B6B" w:rsidRDefault="00B10E7A">
            <w:pPr>
              <w:pStyle w:val="NoSpacing"/>
              <w:spacing w:before="280"/>
              <w:jc w:val="right"/>
            </w:pPr>
            <w:r>
              <w:t>7.3%</w:t>
            </w:r>
          </w:p>
        </w:tc>
      </w:tr>
      <w:tr w:rsidR="00674B6B" w14:paraId="6CD0522A" w14:textId="77777777" w:rsidTr="00BD3A70">
        <w:trPr>
          <w:trHeight w:val="387"/>
        </w:trPr>
        <w:tc>
          <w:tcPr>
            <w:tcW w:w="1421" w:type="dxa"/>
            <w:tcBorders>
              <w:top w:val="nil"/>
              <w:bottom w:val="nil"/>
            </w:tcBorders>
            <w:shd w:val="clear" w:color="auto" w:fill="auto"/>
            <w:vAlign w:val="bottom"/>
          </w:tcPr>
          <w:p w14:paraId="67A29117" w14:textId="77777777" w:rsidR="00674B6B" w:rsidRDefault="00B10E7A">
            <w:pPr>
              <w:pStyle w:val="NoSpacing"/>
              <w:spacing w:before="280"/>
            </w:pPr>
            <w:r>
              <w:t>Overall</w:t>
            </w:r>
          </w:p>
        </w:tc>
        <w:tc>
          <w:tcPr>
            <w:tcW w:w="1491" w:type="dxa"/>
            <w:tcBorders>
              <w:top w:val="nil"/>
              <w:bottom w:val="nil"/>
            </w:tcBorders>
            <w:shd w:val="clear" w:color="auto" w:fill="auto"/>
            <w:vAlign w:val="bottom"/>
          </w:tcPr>
          <w:p w14:paraId="62A4FC57" w14:textId="77777777" w:rsidR="00674B6B" w:rsidRDefault="00B10E7A">
            <w:pPr>
              <w:pStyle w:val="NoSpacing"/>
              <w:spacing w:before="280"/>
            </w:pPr>
            <w:r>
              <w:t>With TP sibling</w:t>
            </w:r>
          </w:p>
        </w:tc>
        <w:tc>
          <w:tcPr>
            <w:tcW w:w="851" w:type="dxa"/>
            <w:tcBorders>
              <w:top w:val="nil"/>
              <w:bottom w:val="nil"/>
            </w:tcBorders>
            <w:shd w:val="clear" w:color="auto" w:fill="auto"/>
            <w:vAlign w:val="bottom"/>
          </w:tcPr>
          <w:p w14:paraId="6E717F67" w14:textId="77777777" w:rsidR="00674B6B" w:rsidRDefault="00B10E7A">
            <w:pPr>
              <w:pStyle w:val="NoSpacing"/>
              <w:spacing w:before="280"/>
              <w:jc w:val="right"/>
            </w:pPr>
            <w:r>
              <w:t>164</w:t>
            </w:r>
          </w:p>
        </w:tc>
        <w:tc>
          <w:tcPr>
            <w:tcW w:w="1215" w:type="dxa"/>
            <w:tcBorders>
              <w:top w:val="nil"/>
              <w:bottom w:val="nil"/>
            </w:tcBorders>
            <w:shd w:val="clear" w:color="auto" w:fill="auto"/>
            <w:vAlign w:val="bottom"/>
          </w:tcPr>
          <w:p w14:paraId="13317E8B" w14:textId="77777777" w:rsidR="00674B6B" w:rsidRDefault="00B10E7A">
            <w:pPr>
              <w:pStyle w:val="NoSpacing"/>
              <w:spacing w:before="280"/>
              <w:jc w:val="right"/>
            </w:pPr>
            <w:r>
              <w:t>70.1%</w:t>
            </w:r>
          </w:p>
        </w:tc>
      </w:tr>
      <w:tr w:rsidR="00674B6B" w14:paraId="28AC43B1" w14:textId="77777777" w:rsidTr="00BD3A70">
        <w:trPr>
          <w:trHeight w:val="20"/>
        </w:trPr>
        <w:tc>
          <w:tcPr>
            <w:tcW w:w="1421" w:type="dxa"/>
            <w:tcBorders>
              <w:top w:val="nil"/>
              <w:bottom w:val="nil"/>
            </w:tcBorders>
            <w:shd w:val="clear" w:color="auto" w:fill="auto"/>
            <w:vAlign w:val="bottom"/>
          </w:tcPr>
          <w:p w14:paraId="0EED13E4" w14:textId="77777777" w:rsidR="00674B6B" w:rsidRDefault="00674B6B">
            <w:pPr>
              <w:pStyle w:val="NoSpacing"/>
              <w:spacing w:before="280"/>
            </w:pPr>
          </w:p>
        </w:tc>
        <w:tc>
          <w:tcPr>
            <w:tcW w:w="1491" w:type="dxa"/>
            <w:tcBorders>
              <w:top w:val="nil"/>
              <w:bottom w:val="nil"/>
            </w:tcBorders>
            <w:shd w:val="clear" w:color="auto" w:fill="auto"/>
            <w:vAlign w:val="bottom"/>
          </w:tcPr>
          <w:p w14:paraId="3820C468" w14:textId="77777777" w:rsidR="00674B6B" w:rsidRDefault="00B10E7A">
            <w:pPr>
              <w:pStyle w:val="NoSpacing"/>
              <w:spacing w:before="280"/>
            </w:pPr>
            <w:r>
              <w:t>No TP sibling</w:t>
            </w:r>
          </w:p>
        </w:tc>
        <w:tc>
          <w:tcPr>
            <w:tcW w:w="851" w:type="dxa"/>
            <w:tcBorders>
              <w:top w:val="nil"/>
              <w:bottom w:val="nil"/>
            </w:tcBorders>
            <w:shd w:val="clear" w:color="auto" w:fill="auto"/>
            <w:vAlign w:val="bottom"/>
          </w:tcPr>
          <w:p w14:paraId="5C1B948F" w14:textId="77777777" w:rsidR="00674B6B" w:rsidRDefault="00B10E7A">
            <w:pPr>
              <w:pStyle w:val="NoSpacing"/>
              <w:spacing w:before="280"/>
              <w:jc w:val="right"/>
            </w:pPr>
            <w:r>
              <w:t>70</w:t>
            </w:r>
          </w:p>
        </w:tc>
        <w:tc>
          <w:tcPr>
            <w:tcW w:w="1215" w:type="dxa"/>
            <w:tcBorders>
              <w:top w:val="nil"/>
              <w:bottom w:val="nil"/>
            </w:tcBorders>
            <w:shd w:val="clear" w:color="auto" w:fill="auto"/>
            <w:vAlign w:val="bottom"/>
          </w:tcPr>
          <w:p w14:paraId="291F166E" w14:textId="77777777" w:rsidR="00674B6B" w:rsidRDefault="00B10E7A">
            <w:pPr>
              <w:pStyle w:val="NoSpacing"/>
              <w:spacing w:before="280"/>
              <w:jc w:val="right"/>
            </w:pPr>
            <w:r>
              <w:t>29.9%</w:t>
            </w:r>
          </w:p>
        </w:tc>
      </w:tr>
    </w:tbl>
    <w:p w14:paraId="73ADACF2" w14:textId="77777777" w:rsidR="00674B6B" w:rsidRDefault="00B10E7A">
      <w:pPr>
        <w:spacing w:beforeAutospacing="0" w:after="200" w:afterAutospacing="0" w:line="276" w:lineRule="auto"/>
        <w:rPr>
          <w:i/>
          <w:szCs w:val="24"/>
        </w:rPr>
      </w:pPr>
      <w:r>
        <w:br w:type="page"/>
      </w:r>
    </w:p>
    <w:p w14:paraId="68D0C356" w14:textId="5AD3F85B" w:rsidR="00674B6B" w:rsidRDefault="00B10E7A" w:rsidP="000C701F">
      <w:pPr>
        <w:pStyle w:val="Caption"/>
        <w:keepNext/>
      </w:pPr>
      <w:proofErr w:type="gramStart"/>
      <w:r>
        <w:lastRenderedPageBreak/>
        <w:t xml:space="preserve">Table </w:t>
      </w:r>
      <w:proofErr w:type="gramEnd"/>
      <w:r>
        <w:fldChar w:fldCharType="begin"/>
      </w:r>
      <w:r>
        <w:instrText>SEQ Table \* ARABIC</w:instrText>
      </w:r>
      <w:r>
        <w:fldChar w:fldCharType="separate"/>
      </w:r>
      <w:r w:rsidR="00406051">
        <w:rPr>
          <w:noProof/>
        </w:rPr>
        <w:t>4</w:t>
      </w:r>
      <w:r>
        <w:fldChar w:fldCharType="end"/>
      </w:r>
      <w:proofErr w:type="gramStart"/>
      <w:r>
        <w:t>: Number of false</w:t>
      </w:r>
      <w:r w:rsidR="008C2714">
        <w:t>-</w:t>
      </w:r>
      <w:r>
        <w:t>negative codes after three expansion steps</w:t>
      </w:r>
      <w:r>
        <w:rPr>
          <w:i w:val="0"/>
        </w:rPr>
        <w:t xml:space="preserve"> </w:t>
      </w:r>
      <w:r>
        <w:t>by vocabulary and error category, and their percentage of all false</w:t>
      </w:r>
      <w:r w:rsidR="008C2714">
        <w:t>-</w:t>
      </w:r>
      <w:r>
        <w:t>negative codes.</w:t>
      </w:r>
      <w:proofErr w:type="gramEnd"/>
    </w:p>
    <w:tbl>
      <w:tblPr>
        <w:tblStyle w:val="TableGrid"/>
        <w:tblW w:w="5409" w:type="dxa"/>
        <w:tblLook w:val="0000" w:firstRow="0" w:lastRow="0" w:firstColumn="0" w:lastColumn="0" w:noHBand="0" w:noVBand="0"/>
      </w:tblPr>
      <w:tblGrid>
        <w:gridCol w:w="1421"/>
        <w:gridCol w:w="2099"/>
        <w:gridCol w:w="720"/>
        <w:gridCol w:w="1169"/>
      </w:tblGrid>
      <w:tr w:rsidR="00674B6B" w14:paraId="1C86C47F" w14:textId="77777777" w:rsidTr="000C701F">
        <w:trPr>
          <w:trHeight w:val="297"/>
        </w:trPr>
        <w:tc>
          <w:tcPr>
            <w:tcW w:w="1420" w:type="dxa"/>
            <w:tcBorders>
              <w:top w:val="nil"/>
            </w:tcBorders>
            <w:shd w:val="clear" w:color="auto" w:fill="auto"/>
          </w:tcPr>
          <w:p w14:paraId="2BE2AB29" w14:textId="77777777" w:rsidR="00674B6B" w:rsidRDefault="00B10E7A">
            <w:pPr>
              <w:pStyle w:val="NoSpacing"/>
              <w:spacing w:before="280"/>
            </w:pPr>
            <w:r>
              <w:rPr>
                <w:b/>
              </w:rPr>
              <w:t>Vocabulary</w:t>
            </w:r>
          </w:p>
        </w:tc>
        <w:tc>
          <w:tcPr>
            <w:tcW w:w="2099" w:type="dxa"/>
            <w:tcBorders>
              <w:top w:val="nil"/>
            </w:tcBorders>
            <w:shd w:val="clear" w:color="auto" w:fill="auto"/>
          </w:tcPr>
          <w:p w14:paraId="31CD1378" w14:textId="77777777" w:rsidR="00674B6B" w:rsidRDefault="00B10E7A">
            <w:pPr>
              <w:pStyle w:val="NoSpacing"/>
              <w:spacing w:before="280"/>
            </w:pPr>
            <w:r>
              <w:rPr>
                <w:b/>
              </w:rPr>
              <w:t>FN category</w:t>
            </w:r>
          </w:p>
        </w:tc>
        <w:tc>
          <w:tcPr>
            <w:tcW w:w="720" w:type="dxa"/>
            <w:tcBorders>
              <w:top w:val="nil"/>
            </w:tcBorders>
            <w:shd w:val="clear" w:color="auto" w:fill="auto"/>
          </w:tcPr>
          <w:p w14:paraId="2370B8B0" w14:textId="77777777" w:rsidR="00674B6B" w:rsidRDefault="00B10E7A">
            <w:pPr>
              <w:pStyle w:val="NoSpacing"/>
              <w:spacing w:before="280"/>
              <w:jc w:val="right"/>
            </w:pPr>
            <w:r>
              <w:rPr>
                <w:b/>
              </w:rPr>
              <w:t>Count</w:t>
            </w:r>
          </w:p>
        </w:tc>
        <w:tc>
          <w:tcPr>
            <w:tcW w:w="1169" w:type="dxa"/>
            <w:tcBorders>
              <w:top w:val="nil"/>
            </w:tcBorders>
            <w:shd w:val="clear" w:color="auto" w:fill="auto"/>
          </w:tcPr>
          <w:p w14:paraId="366A0677" w14:textId="77777777" w:rsidR="00674B6B" w:rsidRDefault="00B10E7A">
            <w:pPr>
              <w:pStyle w:val="NoSpacing"/>
              <w:spacing w:before="280"/>
              <w:jc w:val="right"/>
            </w:pPr>
            <w:r>
              <w:rPr>
                <w:b/>
              </w:rPr>
              <w:t>Percentage</w:t>
            </w:r>
          </w:p>
        </w:tc>
      </w:tr>
      <w:tr w:rsidR="00674B6B" w14:paraId="500C873F" w14:textId="77777777" w:rsidTr="000C701F">
        <w:trPr>
          <w:trHeight w:val="360"/>
        </w:trPr>
        <w:tc>
          <w:tcPr>
            <w:tcW w:w="1420" w:type="dxa"/>
            <w:tcBorders>
              <w:bottom w:val="nil"/>
            </w:tcBorders>
            <w:shd w:val="clear" w:color="auto" w:fill="auto"/>
            <w:vAlign w:val="bottom"/>
          </w:tcPr>
          <w:p w14:paraId="792CF7A0" w14:textId="77777777" w:rsidR="00674B6B" w:rsidRDefault="00B10E7A">
            <w:pPr>
              <w:pStyle w:val="NoSpacing"/>
              <w:spacing w:before="280"/>
            </w:pPr>
            <w:r>
              <w:t>READ-2</w:t>
            </w:r>
          </w:p>
        </w:tc>
        <w:tc>
          <w:tcPr>
            <w:tcW w:w="2099" w:type="dxa"/>
            <w:tcBorders>
              <w:bottom w:val="nil"/>
            </w:tcBorders>
            <w:shd w:val="clear" w:color="auto" w:fill="auto"/>
            <w:vAlign w:val="bottom"/>
          </w:tcPr>
          <w:p w14:paraId="4D24BDDE" w14:textId="77777777" w:rsidR="00674B6B" w:rsidRDefault="00B10E7A">
            <w:pPr>
              <w:pStyle w:val="NoSpacing"/>
              <w:spacing w:before="280"/>
            </w:pPr>
            <w:r>
              <w:t>No sibling in reference</w:t>
            </w:r>
          </w:p>
        </w:tc>
        <w:tc>
          <w:tcPr>
            <w:tcW w:w="720" w:type="dxa"/>
            <w:tcBorders>
              <w:bottom w:val="nil"/>
            </w:tcBorders>
            <w:shd w:val="clear" w:color="auto" w:fill="auto"/>
            <w:vAlign w:val="bottom"/>
          </w:tcPr>
          <w:p w14:paraId="1594DA86" w14:textId="77777777" w:rsidR="00674B6B" w:rsidRDefault="00B10E7A">
            <w:pPr>
              <w:pStyle w:val="NoSpacing"/>
              <w:spacing w:before="280"/>
              <w:jc w:val="right"/>
            </w:pPr>
            <w:r>
              <w:t>19</w:t>
            </w:r>
          </w:p>
        </w:tc>
        <w:tc>
          <w:tcPr>
            <w:tcW w:w="1169" w:type="dxa"/>
            <w:tcBorders>
              <w:bottom w:val="nil"/>
            </w:tcBorders>
            <w:shd w:val="clear" w:color="auto" w:fill="auto"/>
            <w:vAlign w:val="bottom"/>
          </w:tcPr>
          <w:p w14:paraId="0A8FF73D" w14:textId="77777777" w:rsidR="00674B6B" w:rsidRDefault="00B10E7A">
            <w:pPr>
              <w:pStyle w:val="NoSpacing"/>
              <w:spacing w:before="280"/>
              <w:jc w:val="right"/>
            </w:pPr>
            <w:r>
              <w:t>54.3%</w:t>
            </w:r>
          </w:p>
        </w:tc>
      </w:tr>
      <w:tr w:rsidR="00674B6B" w14:paraId="45C1B021" w14:textId="77777777" w:rsidTr="000C701F">
        <w:trPr>
          <w:trHeight w:val="20"/>
        </w:trPr>
        <w:tc>
          <w:tcPr>
            <w:tcW w:w="1420" w:type="dxa"/>
            <w:tcBorders>
              <w:top w:val="nil"/>
              <w:bottom w:val="nil"/>
            </w:tcBorders>
            <w:shd w:val="clear" w:color="auto" w:fill="auto"/>
            <w:vAlign w:val="bottom"/>
          </w:tcPr>
          <w:p w14:paraId="0BAD5C8C" w14:textId="77777777" w:rsidR="00674B6B" w:rsidRDefault="00674B6B">
            <w:pPr>
              <w:pStyle w:val="NoSpacing"/>
              <w:spacing w:before="280"/>
            </w:pPr>
          </w:p>
        </w:tc>
        <w:tc>
          <w:tcPr>
            <w:tcW w:w="2099" w:type="dxa"/>
            <w:tcBorders>
              <w:top w:val="nil"/>
              <w:bottom w:val="nil"/>
            </w:tcBorders>
            <w:shd w:val="clear" w:color="auto" w:fill="auto"/>
            <w:vAlign w:val="bottom"/>
          </w:tcPr>
          <w:p w14:paraId="14C4267A" w14:textId="77777777" w:rsidR="00674B6B" w:rsidRDefault="00B10E7A">
            <w:pPr>
              <w:pStyle w:val="NoSpacing"/>
              <w:spacing w:before="280"/>
            </w:pPr>
            <w:r>
              <w:t>Not in UMLS</w:t>
            </w:r>
          </w:p>
        </w:tc>
        <w:tc>
          <w:tcPr>
            <w:tcW w:w="720" w:type="dxa"/>
            <w:tcBorders>
              <w:top w:val="nil"/>
              <w:bottom w:val="nil"/>
            </w:tcBorders>
            <w:shd w:val="clear" w:color="auto" w:fill="auto"/>
            <w:vAlign w:val="bottom"/>
          </w:tcPr>
          <w:p w14:paraId="4404D1F7" w14:textId="77777777" w:rsidR="00674B6B" w:rsidRDefault="00B10E7A">
            <w:pPr>
              <w:pStyle w:val="NoSpacing"/>
              <w:spacing w:before="280"/>
              <w:jc w:val="right"/>
            </w:pPr>
            <w:r>
              <w:t>11</w:t>
            </w:r>
          </w:p>
        </w:tc>
        <w:tc>
          <w:tcPr>
            <w:tcW w:w="1169" w:type="dxa"/>
            <w:tcBorders>
              <w:top w:val="nil"/>
              <w:bottom w:val="nil"/>
            </w:tcBorders>
            <w:shd w:val="clear" w:color="auto" w:fill="auto"/>
            <w:vAlign w:val="bottom"/>
          </w:tcPr>
          <w:p w14:paraId="07F7BAB0" w14:textId="77777777" w:rsidR="00674B6B" w:rsidRDefault="00B10E7A">
            <w:pPr>
              <w:pStyle w:val="NoSpacing"/>
              <w:spacing w:before="280"/>
              <w:jc w:val="right"/>
            </w:pPr>
            <w:r>
              <w:t>31.4%</w:t>
            </w:r>
          </w:p>
        </w:tc>
      </w:tr>
      <w:tr w:rsidR="00674B6B" w14:paraId="70474FC1" w14:textId="77777777" w:rsidTr="000C701F">
        <w:trPr>
          <w:trHeight w:val="396"/>
        </w:trPr>
        <w:tc>
          <w:tcPr>
            <w:tcW w:w="1420" w:type="dxa"/>
            <w:tcBorders>
              <w:top w:val="nil"/>
              <w:bottom w:val="nil"/>
            </w:tcBorders>
            <w:shd w:val="clear" w:color="auto" w:fill="auto"/>
            <w:vAlign w:val="bottom"/>
          </w:tcPr>
          <w:p w14:paraId="328EB2B0" w14:textId="77777777" w:rsidR="00674B6B" w:rsidRDefault="00B10E7A">
            <w:pPr>
              <w:pStyle w:val="NoSpacing"/>
              <w:spacing w:before="280"/>
            </w:pPr>
            <w:r>
              <w:t>ICD-9 CM</w:t>
            </w:r>
          </w:p>
        </w:tc>
        <w:tc>
          <w:tcPr>
            <w:tcW w:w="2099" w:type="dxa"/>
            <w:tcBorders>
              <w:top w:val="nil"/>
              <w:bottom w:val="nil"/>
            </w:tcBorders>
            <w:shd w:val="clear" w:color="auto" w:fill="auto"/>
            <w:vAlign w:val="bottom"/>
          </w:tcPr>
          <w:p w14:paraId="2769D578" w14:textId="77777777" w:rsidR="00674B6B" w:rsidRDefault="00B10E7A">
            <w:pPr>
              <w:pStyle w:val="NoSpacing"/>
              <w:spacing w:before="280"/>
            </w:pPr>
            <w:r>
              <w:t>No sibling in reference</w:t>
            </w:r>
          </w:p>
        </w:tc>
        <w:tc>
          <w:tcPr>
            <w:tcW w:w="720" w:type="dxa"/>
            <w:tcBorders>
              <w:top w:val="nil"/>
              <w:bottom w:val="nil"/>
            </w:tcBorders>
            <w:shd w:val="clear" w:color="auto" w:fill="auto"/>
            <w:vAlign w:val="bottom"/>
          </w:tcPr>
          <w:p w14:paraId="222F13AB" w14:textId="77777777" w:rsidR="00674B6B" w:rsidRDefault="00B10E7A">
            <w:pPr>
              <w:pStyle w:val="NoSpacing"/>
              <w:spacing w:before="280"/>
              <w:jc w:val="right"/>
            </w:pPr>
            <w:r>
              <w:t>5</w:t>
            </w:r>
          </w:p>
        </w:tc>
        <w:tc>
          <w:tcPr>
            <w:tcW w:w="1169" w:type="dxa"/>
            <w:tcBorders>
              <w:top w:val="nil"/>
              <w:bottom w:val="nil"/>
            </w:tcBorders>
            <w:shd w:val="clear" w:color="auto" w:fill="auto"/>
            <w:vAlign w:val="bottom"/>
          </w:tcPr>
          <w:p w14:paraId="03124E02" w14:textId="77777777" w:rsidR="00674B6B" w:rsidRDefault="00B10E7A">
            <w:pPr>
              <w:pStyle w:val="NoSpacing"/>
              <w:spacing w:before="280"/>
              <w:jc w:val="right"/>
            </w:pPr>
            <w:r>
              <w:t>14.3%</w:t>
            </w:r>
          </w:p>
        </w:tc>
      </w:tr>
      <w:tr w:rsidR="00674B6B" w14:paraId="11CC4168" w14:textId="77777777" w:rsidTr="000C701F">
        <w:trPr>
          <w:trHeight w:val="450"/>
        </w:trPr>
        <w:tc>
          <w:tcPr>
            <w:tcW w:w="1420" w:type="dxa"/>
            <w:tcBorders>
              <w:top w:val="nil"/>
              <w:bottom w:val="nil"/>
            </w:tcBorders>
            <w:shd w:val="clear" w:color="auto" w:fill="auto"/>
            <w:vAlign w:val="bottom"/>
          </w:tcPr>
          <w:p w14:paraId="7ACBA5AF" w14:textId="77777777" w:rsidR="00674B6B" w:rsidRDefault="00B10E7A">
            <w:pPr>
              <w:pStyle w:val="NoSpacing"/>
              <w:spacing w:before="280"/>
            </w:pPr>
            <w:r>
              <w:t>Overall</w:t>
            </w:r>
          </w:p>
        </w:tc>
        <w:tc>
          <w:tcPr>
            <w:tcW w:w="2099" w:type="dxa"/>
            <w:tcBorders>
              <w:top w:val="nil"/>
              <w:bottom w:val="nil"/>
            </w:tcBorders>
            <w:shd w:val="clear" w:color="auto" w:fill="auto"/>
            <w:vAlign w:val="bottom"/>
          </w:tcPr>
          <w:p w14:paraId="71A0242E" w14:textId="77777777" w:rsidR="00674B6B" w:rsidRDefault="00B10E7A">
            <w:pPr>
              <w:pStyle w:val="NoSpacing"/>
              <w:spacing w:before="280"/>
            </w:pPr>
            <w:r>
              <w:t>No sibling in reference</w:t>
            </w:r>
          </w:p>
        </w:tc>
        <w:tc>
          <w:tcPr>
            <w:tcW w:w="720" w:type="dxa"/>
            <w:tcBorders>
              <w:top w:val="nil"/>
              <w:bottom w:val="nil"/>
            </w:tcBorders>
            <w:shd w:val="clear" w:color="auto" w:fill="auto"/>
            <w:vAlign w:val="bottom"/>
          </w:tcPr>
          <w:p w14:paraId="2798F16C" w14:textId="77777777" w:rsidR="00674B6B" w:rsidRDefault="00B10E7A">
            <w:pPr>
              <w:pStyle w:val="NoSpacing"/>
              <w:spacing w:before="280"/>
              <w:jc w:val="right"/>
            </w:pPr>
            <w:r>
              <w:t>24</w:t>
            </w:r>
          </w:p>
        </w:tc>
        <w:tc>
          <w:tcPr>
            <w:tcW w:w="1169" w:type="dxa"/>
            <w:tcBorders>
              <w:top w:val="nil"/>
              <w:bottom w:val="nil"/>
            </w:tcBorders>
            <w:shd w:val="clear" w:color="auto" w:fill="auto"/>
            <w:vAlign w:val="bottom"/>
          </w:tcPr>
          <w:p w14:paraId="317287B0" w14:textId="77777777" w:rsidR="00674B6B" w:rsidRDefault="00B10E7A">
            <w:pPr>
              <w:pStyle w:val="NoSpacing"/>
              <w:spacing w:before="280"/>
              <w:jc w:val="right"/>
            </w:pPr>
            <w:r>
              <w:t>68.6%</w:t>
            </w:r>
          </w:p>
        </w:tc>
      </w:tr>
      <w:tr w:rsidR="00674B6B" w14:paraId="6644E250" w14:textId="77777777" w:rsidTr="000C701F">
        <w:trPr>
          <w:trHeight w:val="20"/>
        </w:trPr>
        <w:tc>
          <w:tcPr>
            <w:tcW w:w="1420" w:type="dxa"/>
            <w:tcBorders>
              <w:top w:val="nil"/>
              <w:bottom w:val="nil"/>
            </w:tcBorders>
            <w:shd w:val="clear" w:color="auto" w:fill="auto"/>
            <w:vAlign w:val="bottom"/>
          </w:tcPr>
          <w:p w14:paraId="63F5FDC8" w14:textId="77777777" w:rsidR="00674B6B" w:rsidRDefault="00674B6B">
            <w:pPr>
              <w:pStyle w:val="NoSpacing"/>
              <w:spacing w:before="280"/>
            </w:pPr>
          </w:p>
        </w:tc>
        <w:tc>
          <w:tcPr>
            <w:tcW w:w="2099" w:type="dxa"/>
            <w:tcBorders>
              <w:top w:val="nil"/>
              <w:bottom w:val="nil"/>
            </w:tcBorders>
            <w:shd w:val="clear" w:color="auto" w:fill="auto"/>
            <w:vAlign w:val="bottom"/>
          </w:tcPr>
          <w:p w14:paraId="6F15DB0A" w14:textId="77777777" w:rsidR="00674B6B" w:rsidRDefault="00B10E7A">
            <w:pPr>
              <w:pStyle w:val="NoSpacing"/>
              <w:spacing w:before="280"/>
            </w:pPr>
            <w:r>
              <w:t xml:space="preserve">Not in UMLS </w:t>
            </w:r>
          </w:p>
        </w:tc>
        <w:tc>
          <w:tcPr>
            <w:tcW w:w="720" w:type="dxa"/>
            <w:tcBorders>
              <w:top w:val="nil"/>
              <w:bottom w:val="nil"/>
            </w:tcBorders>
            <w:shd w:val="clear" w:color="auto" w:fill="auto"/>
            <w:vAlign w:val="bottom"/>
          </w:tcPr>
          <w:p w14:paraId="3480F25D" w14:textId="77777777" w:rsidR="00674B6B" w:rsidRDefault="00B10E7A">
            <w:pPr>
              <w:pStyle w:val="NoSpacing"/>
              <w:spacing w:before="280"/>
              <w:jc w:val="right"/>
            </w:pPr>
            <w:r>
              <w:t>11</w:t>
            </w:r>
          </w:p>
        </w:tc>
        <w:tc>
          <w:tcPr>
            <w:tcW w:w="1169" w:type="dxa"/>
            <w:tcBorders>
              <w:top w:val="nil"/>
              <w:bottom w:val="nil"/>
            </w:tcBorders>
            <w:shd w:val="clear" w:color="auto" w:fill="auto"/>
            <w:vAlign w:val="bottom"/>
          </w:tcPr>
          <w:p w14:paraId="51DEAAA2" w14:textId="77777777" w:rsidR="00674B6B" w:rsidRDefault="00B10E7A">
            <w:pPr>
              <w:pStyle w:val="NoSpacing"/>
              <w:spacing w:before="280"/>
              <w:jc w:val="right"/>
            </w:pPr>
            <w:r>
              <w:t>31.4%</w:t>
            </w:r>
          </w:p>
        </w:tc>
      </w:tr>
    </w:tbl>
    <w:p w14:paraId="7BAB129E" w14:textId="77777777" w:rsidR="00674B6B" w:rsidRDefault="00674B6B"/>
    <w:sectPr w:rsidR="00674B6B" w:rsidSect="00A327FD">
      <w:headerReference w:type="default" r:id="rId18"/>
      <w:pgSz w:w="12280" w:h="15900"/>
      <w:pgMar w:top="1440" w:right="1440" w:bottom="1440" w:left="1440" w:header="720" w:footer="720" w:gutter="0"/>
      <w:lnNumType w:countBy="1" w:restart="continuous"/>
      <w:cols w:space="720"/>
      <w:formProt w:val="0"/>
      <w:docGrid w:linePitch="326"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9968E1" w14:textId="77777777" w:rsidR="00BE3A60" w:rsidRDefault="00BE3A60">
      <w:pPr>
        <w:spacing w:line="240" w:lineRule="auto"/>
      </w:pPr>
      <w:r>
        <w:separator/>
      </w:r>
    </w:p>
  </w:endnote>
  <w:endnote w:type="continuationSeparator" w:id="0">
    <w:p w14:paraId="0A722D12" w14:textId="77777777" w:rsidR="00BE3A60" w:rsidRDefault="00BE3A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w:panose1 w:val="02070409020205020404"/>
    <w:charset w:val="00"/>
    <w:family w:val="auto"/>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Liberation Sans">
    <w:altName w:val="Arial"/>
    <w:panose1 w:val="020B0604020202020204"/>
    <w:charset w:val="00"/>
    <w:family w:val="swiss"/>
    <w:pitch w:val="variable"/>
    <w:sig w:usb0="A00002AF" w:usb1="500078F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FreeSans">
    <w:altName w:val="Courier New"/>
    <w:panose1 w:val="020B0504020202020204"/>
    <w:charset w:val="00"/>
    <w:family w:val="swiss"/>
    <w:pitch w:val="variable"/>
    <w:sig w:usb0="E4838EFF" w:usb1="4200FDFF" w:usb2="000030A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87222E" w14:textId="77777777" w:rsidR="00BE3A60" w:rsidRDefault="00BE3A60">
      <w:pPr>
        <w:spacing w:line="240" w:lineRule="auto"/>
      </w:pPr>
      <w:r>
        <w:separator/>
      </w:r>
    </w:p>
  </w:footnote>
  <w:footnote w:type="continuationSeparator" w:id="0">
    <w:p w14:paraId="66680E62" w14:textId="77777777" w:rsidR="00BE3A60" w:rsidRDefault="00BE3A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7F597" w14:textId="77777777" w:rsidR="00406051" w:rsidRDefault="00406051">
    <w:pPr>
      <w:pStyle w:val="Header"/>
      <w:spacing w:before="280" w:after="2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91647"/>
    <w:multiLevelType w:val="multilevel"/>
    <w:tmpl w:val="87BCBB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25E3FD2"/>
    <w:multiLevelType w:val="multilevel"/>
    <w:tmpl w:val="1532926A"/>
    <w:lvl w:ilvl="0">
      <w:start w:val="250"/>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569A0E3D"/>
    <w:multiLevelType w:val="hybridMultilevel"/>
    <w:tmpl w:val="2AA08E88"/>
    <w:lvl w:ilvl="0" w:tplc="5EEE52F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ors">
    <w15:presenceInfo w15:providerId="None" w15:userId="Jan Ko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trackRevisions/>
  <w:doNotTrackFormatting/>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B6B"/>
    <w:rsid w:val="00005992"/>
    <w:rsid w:val="000128C8"/>
    <w:rsid w:val="00012C8B"/>
    <w:rsid w:val="00025520"/>
    <w:rsid w:val="00025FD0"/>
    <w:rsid w:val="000264E1"/>
    <w:rsid w:val="00033EFC"/>
    <w:rsid w:val="0004007D"/>
    <w:rsid w:val="0004395D"/>
    <w:rsid w:val="00043A82"/>
    <w:rsid w:val="000460DA"/>
    <w:rsid w:val="00053DB6"/>
    <w:rsid w:val="000623C3"/>
    <w:rsid w:val="000664DB"/>
    <w:rsid w:val="0006693C"/>
    <w:rsid w:val="000674EA"/>
    <w:rsid w:val="00067D44"/>
    <w:rsid w:val="000703E2"/>
    <w:rsid w:val="00070F8E"/>
    <w:rsid w:val="00072618"/>
    <w:rsid w:val="00073B7D"/>
    <w:rsid w:val="00075AEE"/>
    <w:rsid w:val="000766D0"/>
    <w:rsid w:val="00076713"/>
    <w:rsid w:val="000770E2"/>
    <w:rsid w:val="00082D3E"/>
    <w:rsid w:val="00083880"/>
    <w:rsid w:val="00085613"/>
    <w:rsid w:val="00085615"/>
    <w:rsid w:val="00086969"/>
    <w:rsid w:val="00087426"/>
    <w:rsid w:val="00090254"/>
    <w:rsid w:val="00092537"/>
    <w:rsid w:val="000941F2"/>
    <w:rsid w:val="00094F39"/>
    <w:rsid w:val="00095E2B"/>
    <w:rsid w:val="0009713D"/>
    <w:rsid w:val="000971B2"/>
    <w:rsid w:val="000A0917"/>
    <w:rsid w:val="000A0CA0"/>
    <w:rsid w:val="000A2451"/>
    <w:rsid w:val="000A28C4"/>
    <w:rsid w:val="000A3BCD"/>
    <w:rsid w:val="000A494A"/>
    <w:rsid w:val="000A7779"/>
    <w:rsid w:val="000B2BF9"/>
    <w:rsid w:val="000B4093"/>
    <w:rsid w:val="000C083B"/>
    <w:rsid w:val="000C31FA"/>
    <w:rsid w:val="000C3D23"/>
    <w:rsid w:val="000C5920"/>
    <w:rsid w:val="000C65F5"/>
    <w:rsid w:val="000C701F"/>
    <w:rsid w:val="000C7621"/>
    <w:rsid w:val="000D03DD"/>
    <w:rsid w:val="000D0436"/>
    <w:rsid w:val="000D0876"/>
    <w:rsid w:val="000D17E3"/>
    <w:rsid w:val="000D215A"/>
    <w:rsid w:val="000D3CE8"/>
    <w:rsid w:val="000D6D82"/>
    <w:rsid w:val="000D7051"/>
    <w:rsid w:val="000E209D"/>
    <w:rsid w:val="000F4F94"/>
    <w:rsid w:val="000F6906"/>
    <w:rsid w:val="001005C2"/>
    <w:rsid w:val="001012D0"/>
    <w:rsid w:val="00107090"/>
    <w:rsid w:val="001118C4"/>
    <w:rsid w:val="00113D65"/>
    <w:rsid w:val="00123E8A"/>
    <w:rsid w:val="00125EAC"/>
    <w:rsid w:val="00127E1C"/>
    <w:rsid w:val="00130105"/>
    <w:rsid w:val="00130CE6"/>
    <w:rsid w:val="00131257"/>
    <w:rsid w:val="001316FB"/>
    <w:rsid w:val="00131C9D"/>
    <w:rsid w:val="00131DEA"/>
    <w:rsid w:val="001325A2"/>
    <w:rsid w:val="00134DEA"/>
    <w:rsid w:val="00137E69"/>
    <w:rsid w:val="0014061A"/>
    <w:rsid w:val="00142BFE"/>
    <w:rsid w:val="00142C01"/>
    <w:rsid w:val="00143B53"/>
    <w:rsid w:val="001440E1"/>
    <w:rsid w:val="00146EDB"/>
    <w:rsid w:val="00147ED6"/>
    <w:rsid w:val="00150175"/>
    <w:rsid w:val="00151162"/>
    <w:rsid w:val="00154EF0"/>
    <w:rsid w:val="0016191B"/>
    <w:rsid w:val="00161EE2"/>
    <w:rsid w:val="00162E1E"/>
    <w:rsid w:val="00164F70"/>
    <w:rsid w:val="00166362"/>
    <w:rsid w:val="00166EA1"/>
    <w:rsid w:val="001678F6"/>
    <w:rsid w:val="00175C3D"/>
    <w:rsid w:val="001762DE"/>
    <w:rsid w:val="00177887"/>
    <w:rsid w:val="00177E26"/>
    <w:rsid w:val="00177E64"/>
    <w:rsid w:val="001858CE"/>
    <w:rsid w:val="001900FF"/>
    <w:rsid w:val="00193D84"/>
    <w:rsid w:val="00194241"/>
    <w:rsid w:val="001976B4"/>
    <w:rsid w:val="001A0BF8"/>
    <w:rsid w:val="001A2019"/>
    <w:rsid w:val="001A50F6"/>
    <w:rsid w:val="001B5CA0"/>
    <w:rsid w:val="001B5FBD"/>
    <w:rsid w:val="001B611C"/>
    <w:rsid w:val="001C59DF"/>
    <w:rsid w:val="001C6E28"/>
    <w:rsid w:val="001C742D"/>
    <w:rsid w:val="001D15AD"/>
    <w:rsid w:val="001D2661"/>
    <w:rsid w:val="001D36A1"/>
    <w:rsid w:val="001D4D63"/>
    <w:rsid w:val="001D6882"/>
    <w:rsid w:val="001E135C"/>
    <w:rsid w:val="001E2602"/>
    <w:rsid w:val="001E3202"/>
    <w:rsid w:val="001E51C9"/>
    <w:rsid w:val="001F67D2"/>
    <w:rsid w:val="001F6D8D"/>
    <w:rsid w:val="00201360"/>
    <w:rsid w:val="00206148"/>
    <w:rsid w:val="0020717D"/>
    <w:rsid w:val="00210587"/>
    <w:rsid w:val="00210CC1"/>
    <w:rsid w:val="00210F49"/>
    <w:rsid w:val="00211D26"/>
    <w:rsid w:val="00211F12"/>
    <w:rsid w:val="00220040"/>
    <w:rsid w:val="002214DA"/>
    <w:rsid w:val="00221BB2"/>
    <w:rsid w:val="00223783"/>
    <w:rsid w:val="00224535"/>
    <w:rsid w:val="002255A4"/>
    <w:rsid w:val="00225B77"/>
    <w:rsid w:val="0022684F"/>
    <w:rsid w:val="002303E5"/>
    <w:rsid w:val="002320D9"/>
    <w:rsid w:val="0023597C"/>
    <w:rsid w:val="00237B73"/>
    <w:rsid w:val="00237FE1"/>
    <w:rsid w:val="00241101"/>
    <w:rsid w:val="002433B9"/>
    <w:rsid w:val="002434C7"/>
    <w:rsid w:val="00244354"/>
    <w:rsid w:val="00245936"/>
    <w:rsid w:val="00252946"/>
    <w:rsid w:val="00252A25"/>
    <w:rsid w:val="00252D48"/>
    <w:rsid w:val="00257094"/>
    <w:rsid w:val="002571D1"/>
    <w:rsid w:val="00257289"/>
    <w:rsid w:val="00257668"/>
    <w:rsid w:val="00257B5A"/>
    <w:rsid w:val="00264777"/>
    <w:rsid w:val="00264D85"/>
    <w:rsid w:val="002676D7"/>
    <w:rsid w:val="00270556"/>
    <w:rsid w:val="002706C4"/>
    <w:rsid w:val="00270FEF"/>
    <w:rsid w:val="00272E8C"/>
    <w:rsid w:val="002832BC"/>
    <w:rsid w:val="00286CE9"/>
    <w:rsid w:val="00286DF9"/>
    <w:rsid w:val="00294741"/>
    <w:rsid w:val="00295956"/>
    <w:rsid w:val="00296C1D"/>
    <w:rsid w:val="00297AAE"/>
    <w:rsid w:val="002A1D0F"/>
    <w:rsid w:val="002A711A"/>
    <w:rsid w:val="002B2AC8"/>
    <w:rsid w:val="002B3E3E"/>
    <w:rsid w:val="002B5DC2"/>
    <w:rsid w:val="002C335C"/>
    <w:rsid w:val="002C3ACB"/>
    <w:rsid w:val="002C6107"/>
    <w:rsid w:val="002D31CE"/>
    <w:rsid w:val="002D366B"/>
    <w:rsid w:val="002D4BDE"/>
    <w:rsid w:val="002D5087"/>
    <w:rsid w:val="002D5AA4"/>
    <w:rsid w:val="002D5F29"/>
    <w:rsid w:val="002E0DE9"/>
    <w:rsid w:val="002E2995"/>
    <w:rsid w:val="002E334D"/>
    <w:rsid w:val="002E4270"/>
    <w:rsid w:val="002E6242"/>
    <w:rsid w:val="002F0560"/>
    <w:rsid w:val="003009E5"/>
    <w:rsid w:val="00305800"/>
    <w:rsid w:val="0030609A"/>
    <w:rsid w:val="003113A0"/>
    <w:rsid w:val="003116DF"/>
    <w:rsid w:val="00315A40"/>
    <w:rsid w:val="0031778D"/>
    <w:rsid w:val="00317DD8"/>
    <w:rsid w:val="003216D9"/>
    <w:rsid w:val="003229F7"/>
    <w:rsid w:val="003240BE"/>
    <w:rsid w:val="003244F6"/>
    <w:rsid w:val="003326E5"/>
    <w:rsid w:val="00333ACC"/>
    <w:rsid w:val="0033497D"/>
    <w:rsid w:val="00337511"/>
    <w:rsid w:val="00340602"/>
    <w:rsid w:val="00341C71"/>
    <w:rsid w:val="00351B8D"/>
    <w:rsid w:val="00353674"/>
    <w:rsid w:val="003536DD"/>
    <w:rsid w:val="00362249"/>
    <w:rsid w:val="003656E7"/>
    <w:rsid w:val="00365C31"/>
    <w:rsid w:val="0037012E"/>
    <w:rsid w:val="00373CC3"/>
    <w:rsid w:val="00374008"/>
    <w:rsid w:val="00374D7A"/>
    <w:rsid w:val="00380225"/>
    <w:rsid w:val="003837FE"/>
    <w:rsid w:val="00387DCC"/>
    <w:rsid w:val="0039210E"/>
    <w:rsid w:val="003949F9"/>
    <w:rsid w:val="003A2C80"/>
    <w:rsid w:val="003A2EBA"/>
    <w:rsid w:val="003B067F"/>
    <w:rsid w:val="003B3C0B"/>
    <w:rsid w:val="003B47E9"/>
    <w:rsid w:val="003B67A0"/>
    <w:rsid w:val="003B7D4E"/>
    <w:rsid w:val="003C08DD"/>
    <w:rsid w:val="003C6D34"/>
    <w:rsid w:val="003D1019"/>
    <w:rsid w:val="003D3E7C"/>
    <w:rsid w:val="003D713D"/>
    <w:rsid w:val="003D7ECE"/>
    <w:rsid w:val="003E21B5"/>
    <w:rsid w:val="003F4AB4"/>
    <w:rsid w:val="003F5DCC"/>
    <w:rsid w:val="003F6225"/>
    <w:rsid w:val="00400EBE"/>
    <w:rsid w:val="00401C48"/>
    <w:rsid w:val="004028DA"/>
    <w:rsid w:val="00406051"/>
    <w:rsid w:val="0041115E"/>
    <w:rsid w:val="004149C0"/>
    <w:rsid w:val="0042063F"/>
    <w:rsid w:val="00420D79"/>
    <w:rsid w:val="00422A49"/>
    <w:rsid w:val="0043037F"/>
    <w:rsid w:val="00430F0A"/>
    <w:rsid w:val="00433583"/>
    <w:rsid w:val="0043565C"/>
    <w:rsid w:val="00436FD0"/>
    <w:rsid w:val="004371A8"/>
    <w:rsid w:val="00446058"/>
    <w:rsid w:val="004465FE"/>
    <w:rsid w:val="004511AF"/>
    <w:rsid w:val="004534A2"/>
    <w:rsid w:val="00453DE7"/>
    <w:rsid w:val="00454658"/>
    <w:rsid w:val="0045601F"/>
    <w:rsid w:val="00462C89"/>
    <w:rsid w:val="00462EC8"/>
    <w:rsid w:val="0046315B"/>
    <w:rsid w:val="004639AB"/>
    <w:rsid w:val="00463ECE"/>
    <w:rsid w:val="00464B56"/>
    <w:rsid w:val="00477E18"/>
    <w:rsid w:val="00484167"/>
    <w:rsid w:val="00485769"/>
    <w:rsid w:val="00486D15"/>
    <w:rsid w:val="004875B3"/>
    <w:rsid w:val="00490927"/>
    <w:rsid w:val="00490BE9"/>
    <w:rsid w:val="00494E6A"/>
    <w:rsid w:val="004976B4"/>
    <w:rsid w:val="004A1EC9"/>
    <w:rsid w:val="004A3944"/>
    <w:rsid w:val="004A6594"/>
    <w:rsid w:val="004B096C"/>
    <w:rsid w:val="004B0A27"/>
    <w:rsid w:val="004B1403"/>
    <w:rsid w:val="004B7D16"/>
    <w:rsid w:val="004C1BAF"/>
    <w:rsid w:val="004C263C"/>
    <w:rsid w:val="004C27DA"/>
    <w:rsid w:val="004C6004"/>
    <w:rsid w:val="004C746A"/>
    <w:rsid w:val="004D5924"/>
    <w:rsid w:val="004D63B5"/>
    <w:rsid w:val="004E73E5"/>
    <w:rsid w:val="004F171C"/>
    <w:rsid w:val="004F28B1"/>
    <w:rsid w:val="004F3404"/>
    <w:rsid w:val="004F44DF"/>
    <w:rsid w:val="004F4EB0"/>
    <w:rsid w:val="004F6DCE"/>
    <w:rsid w:val="004F7820"/>
    <w:rsid w:val="0050082B"/>
    <w:rsid w:val="00500C2E"/>
    <w:rsid w:val="0050431C"/>
    <w:rsid w:val="005062C5"/>
    <w:rsid w:val="00506EE6"/>
    <w:rsid w:val="00511AC5"/>
    <w:rsid w:val="005127E5"/>
    <w:rsid w:val="00513DD5"/>
    <w:rsid w:val="0051554E"/>
    <w:rsid w:val="00515743"/>
    <w:rsid w:val="00515FEF"/>
    <w:rsid w:val="005161A5"/>
    <w:rsid w:val="00516268"/>
    <w:rsid w:val="00516556"/>
    <w:rsid w:val="005202BB"/>
    <w:rsid w:val="00521B50"/>
    <w:rsid w:val="00522BAD"/>
    <w:rsid w:val="005245FF"/>
    <w:rsid w:val="00526429"/>
    <w:rsid w:val="00526D00"/>
    <w:rsid w:val="005270F1"/>
    <w:rsid w:val="00535070"/>
    <w:rsid w:val="00540BE7"/>
    <w:rsid w:val="00542DFD"/>
    <w:rsid w:val="0054364F"/>
    <w:rsid w:val="00543A94"/>
    <w:rsid w:val="00546973"/>
    <w:rsid w:val="00550FCE"/>
    <w:rsid w:val="00551513"/>
    <w:rsid w:val="00551D6E"/>
    <w:rsid w:val="005525D5"/>
    <w:rsid w:val="00553BE3"/>
    <w:rsid w:val="00554B0A"/>
    <w:rsid w:val="00560393"/>
    <w:rsid w:val="00561A85"/>
    <w:rsid w:val="00564379"/>
    <w:rsid w:val="00564E32"/>
    <w:rsid w:val="0056569B"/>
    <w:rsid w:val="00566A70"/>
    <w:rsid w:val="00567AD3"/>
    <w:rsid w:val="00571ABE"/>
    <w:rsid w:val="005732F1"/>
    <w:rsid w:val="0057752D"/>
    <w:rsid w:val="00580009"/>
    <w:rsid w:val="005830CC"/>
    <w:rsid w:val="0058345D"/>
    <w:rsid w:val="0058490F"/>
    <w:rsid w:val="00590112"/>
    <w:rsid w:val="005908BC"/>
    <w:rsid w:val="00590B10"/>
    <w:rsid w:val="00592687"/>
    <w:rsid w:val="00594305"/>
    <w:rsid w:val="0059501B"/>
    <w:rsid w:val="005977E5"/>
    <w:rsid w:val="005A1E1B"/>
    <w:rsid w:val="005A28F9"/>
    <w:rsid w:val="005A5A38"/>
    <w:rsid w:val="005B1211"/>
    <w:rsid w:val="005B2630"/>
    <w:rsid w:val="005B5871"/>
    <w:rsid w:val="005C5888"/>
    <w:rsid w:val="005C59C5"/>
    <w:rsid w:val="005C743B"/>
    <w:rsid w:val="005D1888"/>
    <w:rsid w:val="005D1F00"/>
    <w:rsid w:val="005D4140"/>
    <w:rsid w:val="005D5909"/>
    <w:rsid w:val="005D599C"/>
    <w:rsid w:val="005E3209"/>
    <w:rsid w:val="005E4D35"/>
    <w:rsid w:val="005E651A"/>
    <w:rsid w:val="005E7129"/>
    <w:rsid w:val="005F3386"/>
    <w:rsid w:val="005F762B"/>
    <w:rsid w:val="00600C5C"/>
    <w:rsid w:val="0060274A"/>
    <w:rsid w:val="00602F0F"/>
    <w:rsid w:val="006059D1"/>
    <w:rsid w:val="00611A82"/>
    <w:rsid w:val="0062279E"/>
    <w:rsid w:val="006231D0"/>
    <w:rsid w:val="00624F07"/>
    <w:rsid w:val="00625CAE"/>
    <w:rsid w:val="0062723D"/>
    <w:rsid w:val="006338F1"/>
    <w:rsid w:val="006350E4"/>
    <w:rsid w:val="00636EFB"/>
    <w:rsid w:val="00640870"/>
    <w:rsid w:val="00640F83"/>
    <w:rsid w:val="00641912"/>
    <w:rsid w:val="00645071"/>
    <w:rsid w:val="0064698F"/>
    <w:rsid w:val="00656BE1"/>
    <w:rsid w:val="00657CD0"/>
    <w:rsid w:val="00661A18"/>
    <w:rsid w:val="00661C17"/>
    <w:rsid w:val="00664D51"/>
    <w:rsid w:val="00666157"/>
    <w:rsid w:val="006663CF"/>
    <w:rsid w:val="00667A73"/>
    <w:rsid w:val="00670023"/>
    <w:rsid w:val="00671FC5"/>
    <w:rsid w:val="00672136"/>
    <w:rsid w:val="00673179"/>
    <w:rsid w:val="00674B6B"/>
    <w:rsid w:val="006766A6"/>
    <w:rsid w:val="00681600"/>
    <w:rsid w:val="00692619"/>
    <w:rsid w:val="00693363"/>
    <w:rsid w:val="006967BF"/>
    <w:rsid w:val="00697848"/>
    <w:rsid w:val="006A07DF"/>
    <w:rsid w:val="006A19B5"/>
    <w:rsid w:val="006A263F"/>
    <w:rsid w:val="006A40CF"/>
    <w:rsid w:val="006A4813"/>
    <w:rsid w:val="006A640F"/>
    <w:rsid w:val="006B1402"/>
    <w:rsid w:val="006B29B3"/>
    <w:rsid w:val="006B3B66"/>
    <w:rsid w:val="006B4032"/>
    <w:rsid w:val="006B61CF"/>
    <w:rsid w:val="006B7832"/>
    <w:rsid w:val="006B7C6D"/>
    <w:rsid w:val="006C45BC"/>
    <w:rsid w:val="006D0AA5"/>
    <w:rsid w:val="006D3F46"/>
    <w:rsid w:val="006D6758"/>
    <w:rsid w:val="006D7E20"/>
    <w:rsid w:val="006E0677"/>
    <w:rsid w:val="006E210A"/>
    <w:rsid w:val="006E2CDD"/>
    <w:rsid w:val="006E3779"/>
    <w:rsid w:val="006F0081"/>
    <w:rsid w:val="006F2643"/>
    <w:rsid w:val="006F3732"/>
    <w:rsid w:val="006F5325"/>
    <w:rsid w:val="007010F4"/>
    <w:rsid w:val="007039B0"/>
    <w:rsid w:val="00705E48"/>
    <w:rsid w:val="00705E4D"/>
    <w:rsid w:val="007102A9"/>
    <w:rsid w:val="0071117C"/>
    <w:rsid w:val="007116D3"/>
    <w:rsid w:val="00712ADB"/>
    <w:rsid w:val="00712BA5"/>
    <w:rsid w:val="00715056"/>
    <w:rsid w:val="00715557"/>
    <w:rsid w:val="007156B2"/>
    <w:rsid w:val="00715911"/>
    <w:rsid w:val="007167FE"/>
    <w:rsid w:val="00720402"/>
    <w:rsid w:val="007216CF"/>
    <w:rsid w:val="00722EA1"/>
    <w:rsid w:val="007232B4"/>
    <w:rsid w:val="00723F83"/>
    <w:rsid w:val="00724082"/>
    <w:rsid w:val="00725F6B"/>
    <w:rsid w:val="00727022"/>
    <w:rsid w:val="00727A73"/>
    <w:rsid w:val="0073191E"/>
    <w:rsid w:val="007328EC"/>
    <w:rsid w:val="007329B8"/>
    <w:rsid w:val="00734D66"/>
    <w:rsid w:val="00735E72"/>
    <w:rsid w:val="007432D3"/>
    <w:rsid w:val="00750BCF"/>
    <w:rsid w:val="00750DEB"/>
    <w:rsid w:val="00751147"/>
    <w:rsid w:val="00754A44"/>
    <w:rsid w:val="007573D8"/>
    <w:rsid w:val="00771B01"/>
    <w:rsid w:val="0077282B"/>
    <w:rsid w:val="00786D3B"/>
    <w:rsid w:val="00787D57"/>
    <w:rsid w:val="00787FD2"/>
    <w:rsid w:val="00790B47"/>
    <w:rsid w:val="00791E66"/>
    <w:rsid w:val="00794C64"/>
    <w:rsid w:val="00794F05"/>
    <w:rsid w:val="00795549"/>
    <w:rsid w:val="007A0754"/>
    <w:rsid w:val="007A4A52"/>
    <w:rsid w:val="007A627C"/>
    <w:rsid w:val="007B2290"/>
    <w:rsid w:val="007B6BC3"/>
    <w:rsid w:val="007B6EB2"/>
    <w:rsid w:val="007B7D18"/>
    <w:rsid w:val="007C0268"/>
    <w:rsid w:val="007C274B"/>
    <w:rsid w:val="007C2EFB"/>
    <w:rsid w:val="007C6ED2"/>
    <w:rsid w:val="007D053E"/>
    <w:rsid w:val="007D3814"/>
    <w:rsid w:val="007D3E3A"/>
    <w:rsid w:val="007E25CB"/>
    <w:rsid w:val="007E5179"/>
    <w:rsid w:val="007E6E63"/>
    <w:rsid w:val="007F1F6C"/>
    <w:rsid w:val="007F6E66"/>
    <w:rsid w:val="0080045D"/>
    <w:rsid w:val="00802D75"/>
    <w:rsid w:val="00803FFD"/>
    <w:rsid w:val="008057BD"/>
    <w:rsid w:val="008076AB"/>
    <w:rsid w:val="00807E6B"/>
    <w:rsid w:val="00811F01"/>
    <w:rsid w:val="0081289C"/>
    <w:rsid w:val="00817D8E"/>
    <w:rsid w:val="00824142"/>
    <w:rsid w:val="00826C9B"/>
    <w:rsid w:val="0082728F"/>
    <w:rsid w:val="00831A71"/>
    <w:rsid w:val="00832CF2"/>
    <w:rsid w:val="00836BF6"/>
    <w:rsid w:val="00837E16"/>
    <w:rsid w:val="00844CC4"/>
    <w:rsid w:val="00844FAC"/>
    <w:rsid w:val="008450D2"/>
    <w:rsid w:val="00847B00"/>
    <w:rsid w:val="00847E55"/>
    <w:rsid w:val="008521A8"/>
    <w:rsid w:val="00863456"/>
    <w:rsid w:val="00863DF4"/>
    <w:rsid w:val="008673A7"/>
    <w:rsid w:val="0087702D"/>
    <w:rsid w:val="00881B86"/>
    <w:rsid w:val="00883001"/>
    <w:rsid w:val="008837EE"/>
    <w:rsid w:val="008872F3"/>
    <w:rsid w:val="00887341"/>
    <w:rsid w:val="00887A14"/>
    <w:rsid w:val="00890A73"/>
    <w:rsid w:val="00896178"/>
    <w:rsid w:val="008A26AC"/>
    <w:rsid w:val="008A48B6"/>
    <w:rsid w:val="008A4C38"/>
    <w:rsid w:val="008B1A32"/>
    <w:rsid w:val="008B2741"/>
    <w:rsid w:val="008B40FF"/>
    <w:rsid w:val="008B65AA"/>
    <w:rsid w:val="008B7BEA"/>
    <w:rsid w:val="008B7E0F"/>
    <w:rsid w:val="008C0BAE"/>
    <w:rsid w:val="008C2714"/>
    <w:rsid w:val="008D168F"/>
    <w:rsid w:val="008D1D28"/>
    <w:rsid w:val="008D231B"/>
    <w:rsid w:val="008D33A7"/>
    <w:rsid w:val="008D4E13"/>
    <w:rsid w:val="008D71ED"/>
    <w:rsid w:val="008E0E8D"/>
    <w:rsid w:val="008E7716"/>
    <w:rsid w:val="008F1119"/>
    <w:rsid w:val="008F13D6"/>
    <w:rsid w:val="008F226F"/>
    <w:rsid w:val="008F26D7"/>
    <w:rsid w:val="008F3414"/>
    <w:rsid w:val="008F3673"/>
    <w:rsid w:val="008F38D7"/>
    <w:rsid w:val="008F4538"/>
    <w:rsid w:val="008F48EA"/>
    <w:rsid w:val="008F4E79"/>
    <w:rsid w:val="008F5CE2"/>
    <w:rsid w:val="008F5DC9"/>
    <w:rsid w:val="008F710F"/>
    <w:rsid w:val="00900C05"/>
    <w:rsid w:val="00903BF3"/>
    <w:rsid w:val="00911046"/>
    <w:rsid w:val="009144CA"/>
    <w:rsid w:val="00915AE9"/>
    <w:rsid w:val="00917AB4"/>
    <w:rsid w:val="00921A38"/>
    <w:rsid w:val="00921DFC"/>
    <w:rsid w:val="00923851"/>
    <w:rsid w:val="009238D4"/>
    <w:rsid w:val="00925BF1"/>
    <w:rsid w:val="00926028"/>
    <w:rsid w:val="00926BFB"/>
    <w:rsid w:val="00933912"/>
    <w:rsid w:val="00935092"/>
    <w:rsid w:val="00936385"/>
    <w:rsid w:val="00937799"/>
    <w:rsid w:val="0093797A"/>
    <w:rsid w:val="009431AA"/>
    <w:rsid w:val="0094504B"/>
    <w:rsid w:val="00950B1D"/>
    <w:rsid w:val="009603BB"/>
    <w:rsid w:val="00964919"/>
    <w:rsid w:val="00966800"/>
    <w:rsid w:val="00967222"/>
    <w:rsid w:val="00971FF6"/>
    <w:rsid w:val="0097241D"/>
    <w:rsid w:val="00981572"/>
    <w:rsid w:val="00982C5D"/>
    <w:rsid w:val="00985483"/>
    <w:rsid w:val="009863AF"/>
    <w:rsid w:val="00987C25"/>
    <w:rsid w:val="00987F91"/>
    <w:rsid w:val="009953D4"/>
    <w:rsid w:val="00996E76"/>
    <w:rsid w:val="009A1693"/>
    <w:rsid w:val="009A1919"/>
    <w:rsid w:val="009B230B"/>
    <w:rsid w:val="009B5EE8"/>
    <w:rsid w:val="009C0BDB"/>
    <w:rsid w:val="009C2FFE"/>
    <w:rsid w:val="009C3160"/>
    <w:rsid w:val="009C5085"/>
    <w:rsid w:val="009C58EE"/>
    <w:rsid w:val="009C6899"/>
    <w:rsid w:val="009C7492"/>
    <w:rsid w:val="009C77D9"/>
    <w:rsid w:val="009D2D7F"/>
    <w:rsid w:val="009D3EA9"/>
    <w:rsid w:val="009D4CD3"/>
    <w:rsid w:val="009D55F9"/>
    <w:rsid w:val="009E0034"/>
    <w:rsid w:val="009E6492"/>
    <w:rsid w:val="009E66B6"/>
    <w:rsid w:val="009E67FC"/>
    <w:rsid w:val="009E6B94"/>
    <w:rsid w:val="009E6C3A"/>
    <w:rsid w:val="009E79B4"/>
    <w:rsid w:val="009F0C23"/>
    <w:rsid w:val="009F5827"/>
    <w:rsid w:val="00A002F7"/>
    <w:rsid w:val="00A06114"/>
    <w:rsid w:val="00A06692"/>
    <w:rsid w:val="00A074FC"/>
    <w:rsid w:val="00A07881"/>
    <w:rsid w:val="00A14ADF"/>
    <w:rsid w:val="00A162B3"/>
    <w:rsid w:val="00A1655B"/>
    <w:rsid w:val="00A16BB5"/>
    <w:rsid w:val="00A16BB6"/>
    <w:rsid w:val="00A17DE4"/>
    <w:rsid w:val="00A2035A"/>
    <w:rsid w:val="00A2110E"/>
    <w:rsid w:val="00A21671"/>
    <w:rsid w:val="00A26298"/>
    <w:rsid w:val="00A26F63"/>
    <w:rsid w:val="00A2703E"/>
    <w:rsid w:val="00A327FD"/>
    <w:rsid w:val="00A3292A"/>
    <w:rsid w:val="00A33422"/>
    <w:rsid w:val="00A339D1"/>
    <w:rsid w:val="00A33AB0"/>
    <w:rsid w:val="00A41245"/>
    <w:rsid w:val="00A42A91"/>
    <w:rsid w:val="00A432C8"/>
    <w:rsid w:val="00A46DD9"/>
    <w:rsid w:val="00A50570"/>
    <w:rsid w:val="00A55722"/>
    <w:rsid w:val="00A57342"/>
    <w:rsid w:val="00A6151C"/>
    <w:rsid w:val="00A65EFB"/>
    <w:rsid w:val="00A67E7D"/>
    <w:rsid w:val="00A7067C"/>
    <w:rsid w:val="00A70AD1"/>
    <w:rsid w:val="00A71763"/>
    <w:rsid w:val="00A71837"/>
    <w:rsid w:val="00A768AE"/>
    <w:rsid w:val="00A76C49"/>
    <w:rsid w:val="00A817B2"/>
    <w:rsid w:val="00A82248"/>
    <w:rsid w:val="00A8489D"/>
    <w:rsid w:val="00A925AB"/>
    <w:rsid w:val="00A94786"/>
    <w:rsid w:val="00A96F82"/>
    <w:rsid w:val="00A9720E"/>
    <w:rsid w:val="00AA316C"/>
    <w:rsid w:val="00AA3498"/>
    <w:rsid w:val="00AB2AF1"/>
    <w:rsid w:val="00AB3A2C"/>
    <w:rsid w:val="00AB49D7"/>
    <w:rsid w:val="00AB51CE"/>
    <w:rsid w:val="00AB5444"/>
    <w:rsid w:val="00AB6B1A"/>
    <w:rsid w:val="00AC57B0"/>
    <w:rsid w:val="00AD1A4C"/>
    <w:rsid w:val="00AD1C00"/>
    <w:rsid w:val="00AD28AF"/>
    <w:rsid w:val="00AD3E92"/>
    <w:rsid w:val="00AD4FDD"/>
    <w:rsid w:val="00AD57A3"/>
    <w:rsid w:val="00AD7F10"/>
    <w:rsid w:val="00AE04D0"/>
    <w:rsid w:val="00AE1AC9"/>
    <w:rsid w:val="00AE1E12"/>
    <w:rsid w:val="00AE21DC"/>
    <w:rsid w:val="00AE5A87"/>
    <w:rsid w:val="00AE6354"/>
    <w:rsid w:val="00AF151B"/>
    <w:rsid w:val="00AF258F"/>
    <w:rsid w:val="00AF31B1"/>
    <w:rsid w:val="00AF3586"/>
    <w:rsid w:val="00B055E8"/>
    <w:rsid w:val="00B068EF"/>
    <w:rsid w:val="00B10E7A"/>
    <w:rsid w:val="00B1200B"/>
    <w:rsid w:val="00B1505E"/>
    <w:rsid w:val="00B16F40"/>
    <w:rsid w:val="00B1782B"/>
    <w:rsid w:val="00B20871"/>
    <w:rsid w:val="00B20A79"/>
    <w:rsid w:val="00B21A80"/>
    <w:rsid w:val="00B242D8"/>
    <w:rsid w:val="00B25EB7"/>
    <w:rsid w:val="00B32121"/>
    <w:rsid w:val="00B3333A"/>
    <w:rsid w:val="00B367E9"/>
    <w:rsid w:val="00B40A29"/>
    <w:rsid w:val="00B413EE"/>
    <w:rsid w:val="00B44DA1"/>
    <w:rsid w:val="00B468C1"/>
    <w:rsid w:val="00B473F6"/>
    <w:rsid w:val="00B528A8"/>
    <w:rsid w:val="00B538B6"/>
    <w:rsid w:val="00B53C8C"/>
    <w:rsid w:val="00B547C1"/>
    <w:rsid w:val="00B6299E"/>
    <w:rsid w:val="00B631E2"/>
    <w:rsid w:val="00B650AD"/>
    <w:rsid w:val="00B66F6D"/>
    <w:rsid w:val="00B704EC"/>
    <w:rsid w:val="00B70AA9"/>
    <w:rsid w:val="00B70DB4"/>
    <w:rsid w:val="00B76073"/>
    <w:rsid w:val="00B77A9E"/>
    <w:rsid w:val="00B81E9D"/>
    <w:rsid w:val="00B83CF0"/>
    <w:rsid w:val="00B85033"/>
    <w:rsid w:val="00B8695C"/>
    <w:rsid w:val="00B91393"/>
    <w:rsid w:val="00B92408"/>
    <w:rsid w:val="00BA10F0"/>
    <w:rsid w:val="00BA2DD1"/>
    <w:rsid w:val="00BA30A0"/>
    <w:rsid w:val="00BA4ACA"/>
    <w:rsid w:val="00BB4B6D"/>
    <w:rsid w:val="00BC12B3"/>
    <w:rsid w:val="00BC41D6"/>
    <w:rsid w:val="00BD0070"/>
    <w:rsid w:val="00BD3A70"/>
    <w:rsid w:val="00BD4235"/>
    <w:rsid w:val="00BE0288"/>
    <w:rsid w:val="00BE2B87"/>
    <w:rsid w:val="00BE3078"/>
    <w:rsid w:val="00BE3A60"/>
    <w:rsid w:val="00BE6A4F"/>
    <w:rsid w:val="00BF2641"/>
    <w:rsid w:val="00BF3280"/>
    <w:rsid w:val="00BF4EFF"/>
    <w:rsid w:val="00C00CA9"/>
    <w:rsid w:val="00C015C4"/>
    <w:rsid w:val="00C03176"/>
    <w:rsid w:val="00C03347"/>
    <w:rsid w:val="00C03E4E"/>
    <w:rsid w:val="00C077F9"/>
    <w:rsid w:val="00C136C3"/>
    <w:rsid w:val="00C16908"/>
    <w:rsid w:val="00C200C0"/>
    <w:rsid w:val="00C21631"/>
    <w:rsid w:val="00C22518"/>
    <w:rsid w:val="00C259B3"/>
    <w:rsid w:val="00C27AAB"/>
    <w:rsid w:val="00C30443"/>
    <w:rsid w:val="00C30EEB"/>
    <w:rsid w:val="00C310B4"/>
    <w:rsid w:val="00C3122D"/>
    <w:rsid w:val="00C33D59"/>
    <w:rsid w:val="00C354FB"/>
    <w:rsid w:val="00C400CE"/>
    <w:rsid w:val="00C4372C"/>
    <w:rsid w:val="00C44681"/>
    <w:rsid w:val="00C466CE"/>
    <w:rsid w:val="00C46CDD"/>
    <w:rsid w:val="00C52A1A"/>
    <w:rsid w:val="00C566A9"/>
    <w:rsid w:val="00C5697C"/>
    <w:rsid w:val="00C57A4E"/>
    <w:rsid w:val="00C64532"/>
    <w:rsid w:val="00C65330"/>
    <w:rsid w:val="00C7095C"/>
    <w:rsid w:val="00C719F7"/>
    <w:rsid w:val="00C73ADB"/>
    <w:rsid w:val="00C758AD"/>
    <w:rsid w:val="00C76C8E"/>
    <w:rsid w:val="00C8099A"/>
    <w:rsid w:val="00C81A26"/>
    <w:rsid w:val="00C83940"/>
    <w:rsid w:val="00C8552C"/>
    <w:rsid w:val="00C927E0"/>
    <w:rsid w:val="00C92AE5"/>
    <w:rsid w:val="00C95699"/>
    <w:rsid w:val="00C9758D"/>
    <w:rsid w:val="00CA03ED"/>
    <w:rsid w:val="00CA0CED"/>
    <w:rsid w:val="00CA3ACD"/>
    <w:rsid w:val="00CA3EEB"/>
    <w:rsid w:val="00CA5AFA"/>
    <w:rsid w:val="00CA6902"/>
    <w:rsid w:val="00CA7289"/>
    <w:rsid w:val="00CA74BF"/>
    <w:rsid w:val="00CA7B05"/>
    <w:rsid w:val="00CB04DE"/>
    <w:rsid w:val="00CB12F3"/>
    <w:rsid w:val="00CB3FA0"/>
    <w:rsid w:val="00CB3FF9"/>
    <w:rsid w:val="00CB4F82"/>
    <w:rsid w:val="00CB6366"/>
    <w:rsid w:val="00CB6D55"/>
    <w:rsid w:val="00CB6E51"/>
    <w:rsid w:val="00CB7E36"/>
    <w:rsid w:val="00CC0233"/>
    <w:rsid w:val="00CC4659"/>
    <w:rsid w:val="00CC624A"/>
    <w:rsid w:val="00CC6B9E"/>
    <w:rsid w:val="00CD0B50"/>
    <w:rsid w:val="00CD1730"/>
    <w:rsid w:val="00CD2C66"/>
    <w:rsid w:val="00CD5C48"/>
    <w:rsid w:val="00CD664F"/>
    <w:rsid w:val="00CE08FF"/>
    <w:rsid w:val="00CE130D"/>
    <w:rsid w:val="00CE34CD"/>
    <w:rsid w:val="00CF1985"/>
    <w:rsid w:val="00CF1AD0"/>
    <w:rsid w:val="00CF3B06"/>
    <w:rsid w:val="00CF5570"/>
    <w:rsid w:val="00CF6E0A"/>
    <w:rsid w:val="00CF6E24"/>
    <w:rsid w:val="00D02D61"/>
    <w:rsid w:val="00D04965"/>
    <w:rsid w:val="00D05BFF"/>
    <w:rsid w:val="00D062DC"/>
    <w:rsid w:val="00D06C9E"/>
    <w:rsid w:val="00D07803"/>
    <w:rsid w:val="00D103B2"/>
    <w:rsid w:val="00D14657"/>
    <w:rsid w:val="00D1483B"/>
    <w:rsid w:val="00D1587E"/>
    <w:rsid w:val="00D21527"/>
    <w:rsid w:val="00D2308B"/>
    <w:rsid w:val="00D25BF1"/>
    <w:rsid w:val="00D32961"/>
    <w:rsid w:val="00D37E0C"/>
    <w:rsid w:val="00D410E0"/>
    <w:rsid w:val="00D4408B"/>
    <w:rsid w:val="00D46A50"/>
    <w:rsid w:val="00D47944"/>
    <w:rsid w:val="00D5084F"/>
    <w:rsid w:val="00D5129F"/>
    <w:rsid w:val="00D51B56"/>
    <w:rsid w:val="00D55349"/>
    <w:rsid w:val="00D56846"/>
    <w:rsid w:val="00D60B59"/>
    <w:rsid w:val="00D619AF"/>
    <w:rsid w:val="00D62373"/>
    <w:rsid w:val="00D63859"/>
    <w:rsid w:val="00D640B7"/>
    <w:rsid w:val="00D700CC"/>
    <w:rsid w:val="00D707D4"/>
    <w:rsid w:val="00D7152D"/>
    <w:rsid w:val="00D721A9"/>
    <w:rsid w:val="00D75F4D"/>
    <w:rsid w:val="00D76919"/>
    <w:rsid w:val="00D77159"/>
    <w:rsid w:val="00D772AA"/>
    <w:rsid w:val="00D841D5"/>
    <w:rsid w:val="00D84982"/>
    <w:rsid w:val="00D85EA7"/>
    <w:rsid w:val="00D86ADE"/>
    <w:rsid w:val="00D91B6D"/>
    <w:rsid w:val="00D9392F"/>
    <w:rsid w:val="00D96308"/>
    <w:rsid w:val="00D96E61"/>
    <w:rsid w:val="00D9738A"/>
    <w:rsid w:val="00D97416"/>
    <w:rsid w:val="00DA57AE"/>
    <w:rsid w:val="00DA6CB4"/>
    <w:rsid w:val="00DA71F8"/>
    <w:rsid w:val="00DB1863"/>
    <w:rsid w:val="00DB2B61"/>
    <w:rsid w:val="00DB5877"/>
    <w:rsid w:val="00DC34E0"/>
    <w:rsid w:val="00DC4C3C"/>
    <w:rsid w:val="00DC793D"/>
    <w:rsid w:val="00DD11A6"/>
    <w:rsid w:val="00DD5A81"/>
    <w:rsid w:val="00DD5F43"/>
    <w:rsid w:val="00E02104"/>
    <w:rsid w:val="00E05BFD"/>
    <w:rsid w:val="00E108F8"/>
    <w:rsid w:val="00E10D9F"/>
    <w:rsid w:val="00E10EE7"/>
    <w:rsid w:val="00E138B1"/>
    <w:rsid w:val="00E23E39"/>
    <w:rsid w:val="00E24626"/>
    <w:rsid w:val="00E24E18"/>
    <w:rsid w:val="00E257CA"/>
    <w:rsid w:val="00E25ED7"/>
    <w:rsid w:val="00E25FF1"/>
    <w:rsid w:val="00E339A6"/>
    <w:rsid w:val="00E35B01"/>
    <w:rsid w:val="00E35FF7"/>
    <w:rsid w:val="00E40A6F"/>
    <w:rsid w:val="00E4192A"/>
    <w:rsid w:val="00E4342D"/>
    <w:rsid w:val="00E442DC"/>
    <w:rsid w:val="00E52483"/>
    <w:rsid w:val="00E53869"/>
    <w:rsid w:val="00E54F16"/>
    <w:rsid w:val="00E55666"/>
    <w:rsid w:val="00E56ECB"/>
    <w:rsid w:val="00E57D61"/>
    <w:rsid w:val="00E57DFB"/>
    <w:rsid w:val="00E605E4"/>
    <w:rsid w:val="00E639C8"/>
    <w:rsid w:val="00E66071"/>
    <w:rsid w:val="00E677C7"/>
    <w:rsid w:val="00E6784C"/>
    <w:rsid w:val="00E703D6"/>
    <w:rsid w:val="00E7096E"/>
    <w:rsid w:val="00E70EC4"/>
    <w:rsid w:val="00E723C6"/>
    <w:rsid w:val="00E772AE"/>
    <w:rsid w:val="00E83B72"/>
    <w:rsid w:val="00E84923"/>
    <w:rsid w:val="00E87BD3"/>
    <w:rsid w:val="00E935CD"/>
    <w:rsid w:val="00E95497"/>
    <w:rsid w:val="00E97BDD"/>
    <w:rsid w:val="00EA02C9"/>
    <w:rsid w:val="00EA1CB3"/>
    <w:rsid w:val="00EA3275"/>
    <w:rsid w:val="00EA5E60"/>
    <w:rsid w:val="00EB681B"/>
    <w:rsid w:val="00EB7C2B"/>
    <w:rsid w:val="00EC3383"/>
    <w:rsid w:val="00EC3645"/>
    <w:rsid w:val="00EC3B0C"/>
    <w:rsid w:val="00EC607C"/>
    <w:rsid w:val="00ED01C0"/>
    <w:rsid w:val="00ED086E"/>
    <w:rsid w:val="00ED08CE"/>
    <w:rsid w:val="00ED27A2"/>
    <w:rsid w:val="00ED3B99"/>
    <w:rsid w:val="00EF2B27"/>
    <w:rsid w:val="00F02418"/>
    <w:rsid w:val="00F04DB2"/>
    <w:rsid w:val="00F057C0"/>
    <w:rsid w:val="00F05C94"/>
    <w:rsid w:val="00F10897"/>
    <w:rsid w:val="00F10B06"/>
    <w:rsid w:val="00F122E8"/>
    <w:rsid w:val="00F1407E"/>
    <w:rsid w:val="00F14D6F"/>
    <w:rsid w:val="00F20829"/>
    <w:rsid w:val="00F20FFD"/>
    <w:rsid w:val="00F22FC1"/>
    <w:rsid w:val="00F25359"/>
    <w:rsid w:val="00F278B2"/>
    <w:rsid w:val="00F31422"/>
    <w:rsid w:val="00F347A8"/>
    <w:rsid w:val="00F44598"/>
    <w:rsid w:val="00F451C2"/>
    <w:rsid w:val="00F45FAA"/>
    <w:rsid w:val="00F52755"/>
    <w:rsid w:val="00F53ACC"/>
    <w:rsid w:val="00F5498B"/>
    <w:rsid w:val="00F612FC"/>
    <w:rsid w:val="00F61668"/>
    <w:rsid w:val="00F62E3D"/>
    <w:rsid w:val="00F66D24"/>
    <w:rsid w:val="00F6740F"/>
    <w:rsid w:val="00F75237"/>
    <w:rsid w:val="00F75751"/>
    <w:rsid w:val="00F81C28"/>
    <w:rsid w:val="00F827C1"/>
    <w:rsid w:val="00F83FD8"/>
    <w:rsid w:val="00F847B4"/>
    <w:rsid w:val="00F85039"/>
    <w:rsid w:val="00F864C6"/>
    <w:rsid w:val="00F87AC6"/>
    <w:rsid w:val="00F92FA4"/>
    <w:rsid w:val="00FA2384"/>
    <w:rsid w:val="00FA326A"/>
    <w:rsid w:val="00FA4D58"/>
    <w:rsid w:val="00FA713A"/>
    <w:rsid w:val="00FB6841"/>
    <w:rsid w:val="00FB6D16"/>
    <w:rsid w:val="00FC174D"/>
    <w:rsid w:val="00FC4E1B"/>
    <w:rsid w:val="00FC5E84"/>
    <w:rsid w:val="00FC6844"/>
    <w:rsid w:val="00FD47B4"/>
    <w:rsid w:val="00FE3C72"/>
    <w:rsid w:val="00FE72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C7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7" w:uiPriority="39"/>
    <w:lsdException w:name="toc 8" w:uiPriority="39"/>
    <w:lsdException w:name="toc 9" w:uiPriority="39"/>
    <w:lsdException w:name="caption" w:semiHidden="0" w:qFormat="1"/>
    <w:lsdException w:name="Title" w:semiHidden="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537"/>
    <w:pPr>
      <w:spacing w:beforeAutospacing="1" w:afterAutospacing="1" w:line="360" w:lineRule="auto"/>
    </w:pPr>
    <w:rPr>
      <w:rFonts w:cs="Times New Roman"/>
      <w:sz w:val="24"/>
      <w:szCs w:val="20"/>
      <w:lang w:val="en-GB"/>
    </w:rPr>
  </w:style>
  <w:style w:type="paragraph" w:styleId="Heading1">
    <w:name w:val="heading 1"/>
    <w:basedOn w:val="Normal"/>
    <w:next w:val="Normal"/>
    <w:link w:val="Heading1Char"/>
    <w:uiPriority w:val="9"/>
    <w:qFormat/>
    <w:rsid w:val="00F11C1C"/>
    <w:pPr>
      <w:keepNext/>
      <w:widowControl w:val="0"/>
      <w:spacing w:line="240" w:lineRule="auto"/>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outlineLvl w:val="3"/>
    </w:pPr>
    <w:rPr>
      <w:b/>
      <w:bCs/>
      <w:szCs w:val="24"/>
    </w:rPr>
  </w:style>
  <w:style w:type="paragraph" w:styleId="Heading5">
    <w:name w:val="heading 5"/>
    <w:basedOn w:val="Normal"/>
    <w:next w:val="Normal"/>
    <w:link w:val="Heading5Char"/>
    <w:uiPriority w:val="99"/>
    <w:qFormat/>
    <w:rsid w:val="002D4020"/>
    <w:pPr>
      <w:keepLines/>
      <w:widowControl w:val="0"/>
      <w:spacing w:line="240" w:lineRule="auto"/>
      <w:outlineLvl w:val="4"/>
    </w:pPr>
    <w:rPr>
      <w:b/>
      <w:bCs/>
      <w:szCs w:val="24"/>
    </w:rPr>
  </w:style>
  <w:style w:type="paragraph" w:styleId="Heading6">
    <w:name w:val="heading 6"/>
    <w:basedOn w:val="Normal"/>
    <w:next w:val="Normal"/>
    <w:link w:val="Heading6Char"/>
    <w:uiPriority w:val="99"/>
    <w:qFormat/>
    <w:pPr>
      <w:keepNext/>
      <w:widowControl w:val="0"/>
      <w:spacing w:before="240" w:after="120"/>
      <w:outlineLvl w:val="5"/>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11C1C"/>
    <w:rPr>
      <w:rFonts w:cs="Times New Roman"/>
      <w:b/>
      <w:bCs/>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9"/>
    <w:qFormat/>
    <w:rsid w:val="002D4020"/>
    <w:rPr>
      <w:rFonts w:cs="Times New Roman"/>
      <w:b/>
      <w:bCs/>
      <w:sz w:val="20"/>
      <w:szCs w:val="24"/>
      <w:lang w:val="en-GB"/>
    </w:rPr>
  </w:style>
  <w:style w:type="character" w:customStyle="1" w:styleId="Heading6Char">
    <w:name w:val="Heading 6 Char"/>
    <w:basedOn w:val="DefaultParagraphFont"/>
    <w:link w:val="Heading6"/>
    <w:uiPriority w:val="9"/>
    <w:semiHidden/>
    <w:qFormat/>
    <w:rPr>
      <w:b/>
      <w:bCs/>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character" w:customStyle="1" w:styleId="FooterChar">
    <w:name w:val="Footer Char"/>
    <w:basedOn w:val="DefaultParagraphFont"/>
    <w:link w:val="Footer"/>
    <w:uiPriority w:val="99"/>
    <w:semiHidden/>
    <w:qFormat/>
    <w:rPr>
      <w:rFonts w:ascii="Times New Roman" w:hAnsi="Times New Roman" w:cs="Times New Roman"/>
      <w:sz w:val="20"/>
      <w:szCs w:val="20"/>
    </w:rPr>
  </w:style>
  <w:style w:type="character" w:customStyle="1" w:styleId="HeaderChar">
    <w:name w:val="Header Char"/>
    <w:basedOn w:val="DefaultParagraphFont"/>
    <w:link w:val="Header"/>
    <w:uiPriority w:val="99"/>
    <w:semiHidden/>
    <w:qFormat/>
    <w:rPr>
      <w:rFonts w:ascii="Times New Roman" w:hAnsi="Times New Roman" w:cs="Times New Roman"/>
      <w:sz w:val="20"/>
      <w:szCs w:val="20"/>
    </w:rPr>
  </w:style>
  <w:style w:type="character" w:customStyle="1" w:styleId="QuoteChar">
    <w:name w:val="Quote Char"/>
    <w:basedOn w:val="DefaultParagraphFont"/>
    <w:link w:val="Quote"/>
    <w:uiPriority w:val="29"/>
    <w:qFormat/>
    <w:rPr>
      <w:rFonts w:ascii="Times New Roman" w:hAnsi="Times New Roman" w:cs="Times New Roman"/>
      <w:i/>
      <w:iCs/>
      <w:color w:val="000000" w:themeColor="text1"/>
      <w:sz w:val="20"/>
      <w:szCs w:val="20"/>
    </w:rPr>
  </w:style>
  <w:style w:type="character" w:customStyle="1" w:styleId="FootnoteTextChar">
    <w:name w:val="Footnote Text Char"/>
    <w:basedOn w:val="DefaultParagraphFont"/>
    <w:link w:val="FootnoteText"/>
    <w:uiPriority w:val="99"/>
    <w:qFormat/>
    <w:rPr>
      <w:rFonts w:ascii="Times New Roman" w:hAnsi="Times New Roman" w:cs="Times New Roman"/>
      <w:sz w:val="20"/>
      <w:szCs w:val="20"/>
    </w:rPr>
  </w:style>
  <w:style w:type="character" w:customStyle="1" w:styleId="EndnoteTextChar">
    <w:name w:val="Endnote Text Char"/>
    <w:basedOn w:val="DefaultParagraphFont"/>
    <w:link w:val="EndnoteText"/>
    <w:uiPriority w:val="99"/>
    <w:semiHidden/>
    <w:qFormat/>
    <w:rPr>
      <w:rFonts w:ascii="Times New Roman" w:hAnsi="Times New Roman" w:cs="Times New Roman"/>
      <w:sz w:val="20"/>
      <w:szCs w:val="20"/>
    </w:rPr>
  </w:style>
  <w:style w:type="character" w:styleId="FootnoteReference">
    <w:name w:val="footnote reference"/>
    <w:basedOn w:val="DefaultParagraphFont"/>
    <w:uiPriority w:val="99"/>
    <w:semiHidden/>
    <w:unhideWhenUsed/>
    <w:qFormat/>
    <w:rPr>
      <w:vertAlign w:val="superscript"/>
    </w:rPr>
  </w:style>
  <w:style w:type="character" w:styleId="EndnoteReference">
    <w:name w:val="endnote reference"/>
    <w:basedOn w:val="DefaultParagraphFont"/>
    <w:uiPriority w:val="99"/>
    <w:qFormat/>
    <w:rPr>
      <w:vertAlign w:val="superscript"/>
    </w:rPr>
  </w:style>
  <w:style w:type="character" w:customStyle="1" w:styleId="BalloonTextChar">
    <w:name w:val="Balloon Text Char"/>
    <w:basedOn w:val="DefaultParagraphFont"/>
    <w:link w:val="BalloonText"/>
    <w:uiPriority w:val="99"/>
    <w:semiHidden/>
    <w:qFormat/>
    <w:rsid w:val="00ED29FF"/>
    <w:rPr>
      <w:rFonts w:ascii="Tahoma" w:hAnsi="Tahoma" w:cs="Tahoma"/>
      <w:sz w:val="16"/>
      <w:szCs w:val="16"/>
    </w:rPr>
  </w:style>
  <w:style w:type="character" w:styleId="CommentReference">
    <w:name w:val="annotation reference"/>
    <w:basedOn w:val="DefaultParagraphFont"/>
    <w:uiPriority w:val="99"/>
    <w:semiHidden/>
    <w:unhideWhenUsed/>
    <w:qFormat/>
    <w:rsid w:val="000C728A"/>
    <w:rPr>
      <w:sz w:val="16"/>
      <w:szCs w:val="16"/>
    </w:rPr>
  </w:style>
  <w:style w:type="character" w:customStyle="1" w:styleId="CommentTextChar">
    <w:name w:val="Comment Text Char"/>
    <w:basedOn w:val="DefaultParagraphFont"/>
    <w:link w:val="CommentText"/>
    <w:uiPriority w:val="99"/>
    <w:qFormat/>
    <w:rsid w:val="000C728A"/>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0C728A"/>
    <w:rPr>
      <w:rFonts w:ascii="Times New Roman" w:hAnsi="Times New Roman" w:cs="Times New Roman"/>
      <w:b/>
      <w:bCs/>
      <w:sz w:val="20"/>
      <w:szCs w:val="20"/>
    </w:rPr>
  </w:style>
  <w:style w:type="character" w:customStyle="1" w:styleId="InternetLink">
    <w:name w:val="Internet Link"/>
    <w:basedOn w:val="DefaultParagraphFont"/>
    <w:uiPriority w:val="99"/>
    <w:unhideWhenUsed/>
    <w:rsid w:val="00982A14"/>
    <w:rPr>
      <w:color w:val="0000FF" w:themeColor="hyperlink"/>
      <w:u w:val="single"/>
    </w:rPr>
  </w:style>
  <w:style w:type="character" w:styleId="LineNumber">
    <w:name w:val="line number"/>
    <w:basedOn w:val="DefaultParagraphFont"/>
    <w:uiPriority w:val="99"/>
    <w:semiHidden/>
    <w:unhideWhenUsed/>
    <w:qFormat/>
    <w:rsid w:val="00E23521"/>
    <w:rPr>
      <w:color w:val="BFBFBF" w:themeColor="background1" w:themeShade="BF"/>
      <w:sz w:val="12"/>
    </w:rPr>
  </w:style>
  <w:style w:type="character" w:styleId="PlaceholderText">
    <w:name w:val="Placeholder Text"/>
    <w:basedOn w:val="DefaultParagraphFont"/>
    <w:uiPriority w:val="99"/>
    <w:semiHidden/>
    <w:qFormat/>
    <w:rsid w:val="00AE3D3F"/>
    <w:rPr>
      <w:color w:val="808080"/>
    </w:rPr>
  </w:style>
  <w:style w:type="character" w:styleId="FollowedHyperlink">
    <w:name w:val="FollowedHyperlink"/>
    <w:basedOn w:val="DefaultParagraphFont"/>
    <w:uiPriority w:val="99"/>
    <w:semiHidden/>
    <w:unhideWhenUsed/>
    <w:qFormat/>
    <w:rsid w:val="00236962"/>
    <w:rPr>
      <w:color w:val="800080" w:themeColor="followedHyperlink"/>
      <w:u w:val="single"/>
    </w:rPr>
  </w:style>
  <w:style w:type="character" w:customStyle="1" w:styleId="ListLabel1">
    <w:name w:val="ListLabel 1"/>
    <w:qFormat/>
    <w:rPr>
      <w:rFonts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Times New Roman"/>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Times New Roman"/>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Times New Roman"/>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VisitedInternetLink">
    <w:name w:val="Visited Internet Link"/>
    <w:rPr>
      <w:color w:val="80000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Normal"/>
    <w:uiPriority w:val="99"/>
    <w:pPr>
      <w:tabs>
        <w:tab w:val="left" w:pos="283"/>
      </w:tabs>
      <w:spacing w:before="280" w:after="120"/>
      <w:ind w:left="283" w:hanging="283"/>
    </w:pPr>
  </w:style>
  <w:style w:type="paragraph" w:styleId="Caption">
    <w:name w:val="caption"/>
    <w:basedOn w:val="Normal"/>
    <w:next w:val="Normal"/>
    <w:uiPriority w:val="99"/>
    <w:qFormat/>
    <w:rsid w:val="00964ED0"/>
    <w:pPr>
      <w:keepLines/>
      <w:spacing w:before="120" w:after="120"/>
    </w:pPr>
    <w:rPr>
      <w:i/>
      <w:szCs w:val="24"/>
    </w:rPr>
  </w:style>
  <w:style w:type="paragraph" w:customStyle="1" w:styleId="Index">
    <w:name w:val="Index"/>
    <w:basedOn w:val="Normal"/>
    <w:qFormat/>
    <w:pPr>
      <w:suppressLineNumbers/>
    </w:pPr>
    <w:rPr>
      <w:rFonts w:cs="FreeSans"/>
    </w:rPr>
  </w:style>
  <w:style w:type="paragraph" w:customStyle="1" w:styleId="Part">
    <w:name w:val="Part"/>
    <w:basedOn w:val="Normal"/>
    <w:next w:val="Normal"/>
    <w:uiPriority w:val="99"/>
    <w:qFormat/>
    <w:pPr>
      <w:keepNext/>
      <w:widowControl w:val="0"/>
      <w:spacing w:before="240" w:after="120"/>
      <w:jc w:val="center"/>
    </w:pPr>
    <w:rPr>
      <w:b/>
      <w:bCs/>
      <w:sz w:val="40"/>
      <w:szCs w:val="40"/>
    </w:rPr>
  </w:style>
  <w:style w:type="paragraph" w:customStyle="1" w:styleId="rightpar">
    <w:name w:val="rightpar"/>
    <w:basedOn w:val="Normal"/>
    <w:uiPriority w:val="99"/>
    <w:qFormat/>
    <w:pPr>
      <w:keepLines/>
      <w:spacing w:before="120" w:after="120"/>
      <w:jc w:val="right"/>
    </w:pPr>
    <w:rPr>
      <w:szCs w:val="24"/>
    </w:rPr>
  </w:style>
  <w:style w:type="paragraph" w:customStyle="1" w:styleId="centerpar">
    <w:name w:val="centerpar"/>
    <w:basedOn w:val="Normal"/>
    <w:uiPriority w:val="99"/>
    <w:qFormat/>
    <w:pPr>
      <w:keepLines/>
      <w:spacing w:before="120" w:after="120"/>
      <w:jc w:val="center"/>
    </w:pPr>
    <w:rPr>
      <w:szCs w:val="24"/>
    </w:rPr>
  </w:style>
  <w:style w:type="paragraph" w:customStyle="1" w:styleId="equation">
    <w:name w:val="equation"/>
    <w:basedOn w:val="Normal"/>
    <w:next w:val="Normal"/>
    <w:uiPriority w:val="99"/>
    <w:qFormat/>
    <w:pPr>
      <w:keepLines/>
      <w:spacing w:before="120" w:after="120"/>
    </w:pPr>
    <w:rPr>
      <w:szCs w:val="24"/>
    </w:rPr>
  </w:style>
  <w:style w:type="paragraph" w:customStyle="1" w:styleId="equationNum">
    <w:name w:val="equationNum"/>
    <w:basedOn w:val="Normal"/>
    <w:next w:val="Normal"/>
    <w:uiPriority w:val="99"/>
    <w:qFormat/>
    <w:pPr>
      <w:keepLines/>
      <w:spacing w:before="120" w:after="120"/>
    </w:pPr>
    <w:rPr>
      <w:szCs w:val="24"/>
    </w:rPr>
  </w:style>
  <w:style w:type="paragraph" w:customStyle="1" w:styleId="equationAlign">
    <w:name w:val="equationAlign"/>
    <w:basedOn w:val="Normal"/>
    <w:next w:val="Normal"/>
    <w:uiPriority w:val="99"/>
    <w:qFormat/>
    <w:pPr>
      <w:keepLines/>
      <w:spacing w:before="120" w:after="120"/>
    </w:pPr>
    <w:rPr>
      <w:szCs w:val="24"/>
    </w:rPr>
  </w:style>
  <w:style w:type="paragraph" w:customStyle="1" w:styleId="equationAlignNum">
    <w:name w:val="equationAlignNum"/>
    <w:basedOn w:val="Normal"/>
    <w:next w:val="Normal"/>
    <w:uiPriority w:val="99"/>
    <w:qFormat/>
    <w:pPr>
      <w:keepLines/>
      <w:spacing w:before="120" w:after="120"/>
    </w:pPr>
    <w:rPr>
      <w:szCs w:val="24"/>
    </w:rPr>
  </w:style>
  <w:style w:type="paragraph" w:customStyle="1" w:styleId="equationArray">
    <w:name w:val="equationArray"/>
    <w:basedOn w:val="Normal"/>
    <w:next w:val="Normal"/>
    <w:uiPriority w:val="99"/>
    <w:qFormat/>
    <w:pPr>
      <w:keepLines/>
      <w:spacing w:before="120" w:after="120"/>
    </w:pPr>
    <w:rPr>
      <w:szCs w:val="24"/>
    </w:rPr>
  </w:style>
  <w:style w:type="paragraph" w:customStyle="1" w:styleId="equationArrayNum">
    <w:name w:val="equationArrayNum"/>
    <w:basedOn w:val="Normal"/>
    <w:next w:val="Normal"/>
    <w:uiPriority w:val="99"/>
    <w:qFormat/>
    <w:pPr>
      <w:keepLines/>
      <w:spacing w:before="120" w:after="120"/>
    </w:pPr>
    <w:rPr>
      <w:szCs w:val="24"/>
    </w:rPr>
  </w:style>
  <w:style w:type="paragraph" w:customStyle="1" w:styleId="theorem">
    <w:name w:val="theorem"/>
    <w:basedOn w:val="Normal"/>
    <w:next w:val="Normal"/>
    <w:uiPriority w:val="99"/>
    <w:qFormat/>
    <w:pPr>
      <w:keepLines/>
      <w:spacing w:before="120" w:after="120"/>
    </w:pPr>
  </w:style>
  <w:style w:type="paragraph" w:customStyle="1" w:styleId="bitmapCenter">
    <w:name w:val="bitmapCenter"/>
    <w:basedOn w:val="Normal"/>
    <w:next w:val="Normal"/>
    <w:uiPriority w:val="99"/>
    <w:qFormat/>
    <w:pPr>
      <w:keepLines/>
      <w:spacing w:before="120" w:after="120"/>
    </w:pPr>
    <w:rPr>
      <w:szCs w:val="24"/>
    </w:rPr>
  </w:style>
  <w:style w:type="paragraph" w:styleId="Title">
    <w:name w:val="Title"/>
    <w:basedOn w:val="Normal"/>
    <w:link w:val="TitleChar"/>
    <w:uiPriority w:val="99"/>
    <w:qFormat/>
    <w:pPr>
      <w:widowControl w:val="0"/>
      <w:spacing w:before="240" w:after="240"/>
      <w:jc w:val="center"/>
    </w:pPr>
    <w:rPr>
      <w:b/>
      <w:bCs/>
      <w:sz w:val="36"/>
      <w:szCs w:val="36"/>
    </w:rPr>
  </w:style>
  <w:style w:type="paragraph" w:customStyle="1" w:styleId="author">
    <w:name w:val="author"/>
    <w:basedOn w:val="Normal"/>
    <w:next w:val="Normal"/>
    <w:uiPriority w:val="99"/>
    <w:qFormat/>
    <w:pPr>
      <w:widowControl w:val="0"/>
      <w:spacing w:before="280" w:after="120"/>
      <w:jc w:val="center"/>
    </w:pPr>
  </w:style>
  <w:style w:type="paragraph" w:styleId="Footer">
    <w:name w:val="footer"/>
    <w:basedOn w:val="Normal"/>
    <w:link w:val="FooterChar"/>
    <w:uiPriority w:val="99"/>
    <w:pPr>
      <w:widowControl w:val="0"/>
      <w:suppressLineNumbers/>
      <w:tabs>
        <w:tab w:val="center" w:pos="4536"/>
        <w:tab w:val="right" w:pos="9072"/>
      </w:tabs>
    </w:pPr>
  </w:style>
  <w:style w:type="paragraph" w:styleId="Header">
    <w:name w:val="header"/>
    <w:basedOn w:val="Normal"/>
    <w:link w:val="HeaderChar"/>
    <w:uiPriority w:val="99"/>
    <w:pPr>
      <w:widowControl w:val="0"/>
      <w:suppressLineNumbers/>
      <w:tabs>
        <w:tab w:val="center" w:pos="4536"/>
        <w:tab w:val="right" w:pos="9072"/>
      </w:tabs>
    </w:pPr>
  </w:style>
  <w:style w:type="paragraph" w:customStyle="1" w:styleId="Figure">
    <w:name w:val="Figure"/>
    <w:basedOn w:val="Normal"/>
    <w:next w:val="Normal"/>
    <w:uiPriority w:val="99"/>
    <w:qFormat/>
    <w:pPr>
      <w:keepLines/>
      <w:spacing w:before="120" w:after="280"/>
      <w:jc w:val="center"/>
    </w:pPr>
  </w:style>
  <w:style w:type="paragraph" w:customStyle="1" w:styleId="Table">
    <w:name w:val="Table"/>
    <w:basedOn w:val="Normal"/>
    <w:uiPriority w:val="99"/>
    <w:qFormat/>
    <w:pPr>
      <w:keepLines/>
      <w:spacing w:before="120" w:after="280"/>
      <w:jc w:val="center"/>
    </w:pPr>
  </w:style>
  <w:style w:type="paragraph" w:customStyle="1" w:styleId="Tabular">
    <w:name w:val="Tabular"/>
    <w:basedOn w:val="Normal"/>
    <w:uiPriority w:val="99"/>
    <w:qFormat/>
    <w:pPr>
      <w:keepLines/>
      <w:spacing w:before="120" w:after="280"/>
      <w:jc w:val="center"/>
    </w:pPr>
  </w:style>
  <w:style w:type="paragraph" w:customStyle="1" w:styleId="Tabbing">
    <w:name w:val="Tabbing"/>
    <w:basedOn w:val="Normal"/>
    <w:uiPriority w:val="99"/>
    <w:qFormat/>
    <w:pPr>
      <w:keepLines/>
      <w:spacing w:before="120" w:after="280"/>
      <w:jc w:val="center"/>
    </w:pPr>
  </w:style>
  <w:style w:type="paragraph" w:styleId="Quote">
    <w:name w:val="Quote"/>
    <w:basedOn w:val="Normal"/>
    <w:link w:val="QuoteChar"/>
    <w:uiPriority w:val="99"/>
    <w:qFormat/>
    <w:pPr>
      <w:ind w:left="1024" w:right="1024" w:firstLine="340"/>
    </w:pPr>
  </w:style>
  <w:style w:type="paragraph" w:customStyle="1" w:styleId="verbatim">
    <w:name w:val="verbatim"/>
    <w:uiPriority w:val="99"/>
    <w:qFormat/>
    <w:rPr>
      <w:rFonts w:ascii="Courier New" w:hAnsi="Courier New" w:cs="Courier New"/>
      <w:szCs w:val="20"/>
    </w:rPr>
  </w:style>
  <w:style w:type="paragraph" w:customStyle="1" w:styleId="List21">
    <w:name w:val="List 21"/>
    <w:basedOn w:val="Normal"/>
    <w:uiPriority w:val="99"/>
    <w:pPr>
      <w:tabs>
        <w:tab w:val="left" w:pos="283"/>
      </w:tabs>
      <w:spacing w:before="280" w:after="120"/>
      <w:ind w:left="283" w:hanging="283"/>
    </w:pPr>
  </w:style>
  <w:style w:type="paragraph" w:customStyle="1" w:styleId="latexpicture">
    <w:name w:val="latex picture"/>
    <w:basedOn w:val="Normal"/>
    <w:next w:val="Normal"/>
    <w:uiPriority w:val="99"/>
    <w:qFormat/>
    <w:pPr>
      <w:keepLines/>
      <w:spacing w:before="120" w:after="120"/>
      <w:jc w:val="center"/>
    </w:pPr>
    <w:rPr>
      <w:szCs w:val="24"/>
    </w:rPr>
  </w:style>
  <w:style w:type="paragraph" w:customStyle="1" w:styleId="subfigure">
    <w:name w:val="subfigure"/>
    <w:basedOn w:val="Normal"/>
    <w:next w:val="Normal"/>
    <w:uiPriority w:val="99"/>
    <w:qFormat/>
    <w:pPr>
      <w:keepLines/>
      <w:spacing w:before="120" w:after="120"/>
      <w:jc w:val="center"/>
    </w:pPr>
    <w:rPr>
      <w:szCs w:val="24"/>
    </w:rPr>
  </w:style>
  <w:style w:type="paragraph" w:customStyle="1" w:styleId="bibheading">
    <w:name w:val="bibheading"/>
    <w:basedOn w:val="Normal"/>
    <w:uiPriority w:val="99"/>
    <w:qFormat/>
    <w:pPr>
      <w:keepNext/>
      <w:widowControl w:val="0"/>
      <w:spacing w:before="240" w:after="120"/>
    </w:pPr>
    <w:rPr>
      <w:b/>
      <w:bCs/>
      <w:sz w:val="32"/>
      <w:szCs w:val="32"/>
    </w:rPr>
  </w:style>
  <w:style w:type="paragraph" w:customStyle="1" w:styleId="bibitem">
    <w:name w:val="bibitem"/>
    <w:basedOn w:val="Normal"/>
    <w:uiPriority w:val="99"/>
    <w:qFormat/>
    <w:pPr>
      <w:widowControl w:val="0"/>
      <w:ind w:left="567" w:hanging="567"/>
    </w:pPr>
  </w:style>
  <w:style w:type="paragraph" w:customStyle="1" w:styleId="endnotes">
    <w:name w:val="endnotes"/>
    <w:basedOn w:val="Normal"/>
    <w:uiPriority w:val="99"/>
    <w:qFormat/>
    <w:pPr>
      <w:tabs>
        <w:tab w:val="left" w:pos="283"/>
      </w:tabs>
      <w:spacing w:before="280" w:after="120"/>
      <w:ind w:left="283" w:hanging="283"/>
    </w:pPr>
  </w:style>
  <w:style w:type="paragraph" w:styleId="FootnoteText">
    <w:name w:val="footnote text"/>
    <w:basedOn w:val="Normal"/>
    <w:link w:val="FootnoteTextChar"/>
    <w:uiPriority w:val="99"/>
    <w:qFormat/>
    <w:pPr>
      <w:widowControl w:val="0"/>
      <w:ind w:left="397" w:hanging="113"/>
    </w:pPr>
  </w:style>
  <w:style w:type="paragraph" w:styleId="EndnoteText">
    <w:name w:val="endnote text"/>
    <w:basedOn w:val="Normal"/>
    <w:link w:val="EndnoteTextChar"/>
    <w:uiPriority w:val="99"/>
    <w:qFormat/>
    <w:pPr>
      <w:widowControl w:val="0"/>
      <w:ind w:left="454" w:hanging="170"/>
    </w:pPr>
  </w:style>
  <w:style w:type="paragraph" w:customStyle="1" w:styleId="acronym">
    <w:name w:val="acronym"/>
    <w:basedOn w:val="Normal"/>
    <w:uiPriority w:val="99"/>
    <w:qFormat/>
    <w:pPr>
      <w:keepNext/>
      <w:widowControl w:val="0"/>
      <w:spacing w:before="280" w:after="60"/>
    </w:pPr>
  </w:style>
  <w:style w:type="paragraph" w:customStyle="1" w:styleId="abstracttitle">
    <w:name w:val="abstract title"/>
    <w:basedOn w:val="Normal"/>
    <w:uiPriority w:val="99"/>
    <w:qFormat/>
    <w:pPr>
      <w:widowControl w:val="0"/>
      <w:spacing w:before="280" w:after="120"/>
      <w:jc w:val="center"/>
    </w:pPr>
    <w:rPr>
      <w:b/>
      <w:bCs/>
    </w:rPr>
  </w:style>
  <w:style w:type="paragraph" w:customStyle="1" w:styleId="abstract">
    <w:name w:val="abstract"/>
    <w:basedOn w:val="Normal"/>
    <w:next w:val="Normal"/>
    <w:uiPriority w:val="99"/>
    <w:qFormat/>
    <w:pPr>
      <w:ind w:left="1024" w:right="1024" w:firstLine="340"/>
    </w:pPr>
  </w:style>
  <w:style w:type="paragraph" w:customStyle="1" w:styleId="contentsheading">
    <w:name w:val="contents_heading"/>
    <w:basedOn w:val="Normal"/>
    <w:next w:val="Normal"/>
    <w:uiPriority w:val="99"/>
    <w:qFormat/>
    <w:pPr>
      <w:keepNext/>
      <w:widowControl w:val="0"/>
      <w:spacing w:before="240" w:after="120"/>
    </w:pPr>
    <w:rPr>
      <w:b/>
      <w:bCs/>
    </w:rPr>
  </w:style>
  <w:style w:type="paragraph" w:styleId="TOC1">
    <w:name w:val="toc 1"/>
    <w:basedOn w:val="Normal"/>
    <w:next w:val="TOC2"/>
    <w:uiPriority w:val="99"/>
    <w:pPr>
      <w:keepNext/>
      <w:widowControl w:val="0"/>
      <w:tabs>
        <w:tab w:val="right" w:leader="dot" w:pos="8222"/>
      </w:tabs>
      <w:spacing w:before="240" w:after="60"/>
      <w:ind w:left="425"/>
    </w:pPr>
    <w:rPr>
      <w:b/>
      <w:bCs/>
    </w:rPr>
  </w:style>
  <w:style w:type="paragraph" w:styleId="TOC2">
    <w:name w:val="toc 2"/>
    <w:basedOn w:val="Normal"/>
    <w:next w:val="TOC3"/>
    <w:uiPriority w:val="99"/>
    <w:pPr>
      <w:keepNext/>
      <w:widowControl w:val="0"/>
      <w:tabs>
        <w:tab w:val="right" w:leader="dot" w:pos="8222"/>
      </w:tabs>
      <w:spacing w:before="280" w:after="60"/>
      <w:ind w:left="512"/>
    </w:pPr>
  </w:style>
  <w:style w:type="paragraph" w:styleId="TOC3">
    <w:name w:val="toc 3"/>
    <w:basedOn w:val="Normal"/>
    <w:next w:val="TOC4"/>
    <w:uiPriority w:val="99"/>
    <w:pPr>
      <w:keepNext/>
      <w:widowControl w:val="0"/>
      <w:tabs>
        <w:tab w:val="right" w:leader="dot" w:pos="8222"/>
      </w:tabs>
      <w:spacing w:before="280" w:after="60"/>
      <w:ind w:left="1024"/>
    </w:pPr>
  </w:style>
  <w:style w:type="paragraph" w:styleId="TOC4">
    <w:name w:val="toc 4"/>
    <w:basedOn w:val="Normal"/>
    <w:next w:val="TOC5"/>
    <w:uiPriority w:val="99"/>
    <w:pPr>
      <w:keepNext/>
      <w:widowControl w:val="0"/>
      <w:tabs>
        <w:tab w:val="right" w:leader="dot" w:pos="8222"/>
      </w:tabs>
      <w:spacing w:before="280" w:after="60"/>
      <w:ind w:left="1536"/>
    </w:pPr>
  </w:style>
  <w:style w:type="paragraph" w:styleId="TOC5">
    <w:name w:val="toc 5"/>
    <w:basedOn w:val="Normal"/>
    <w:next w:val="TOC6"/>
    <w:uiPriority w:val="99"/>
    <w:pPr>
      <w:keepNext/>
      <w:widowControl w:val="0"/>
      <w:tabs>
        <w:tab w:val="right" w:leader="dot" w:pos="8222"/>
      </w:tabs>
      <w:spacing w:before="280" w:after="60"/>
      <w:ind w:left="2048"/>
    </w:pPr>
  </w:style>
  <w:style w:type="paragraph" w:styleId="TOC6">
    <w:name w:val="toc 6"/>
    <w:basedOn w:val="Normal"/>
    <w:uiPriority w:val="99"/>
    <w:pPr>
      <w:keepNext/>
      <w:widowControl w:val="0"/>
      <w:tabs>
        <w:tab w:val="right" w:leader="dot" w:pos="8222"/>
      </w:tabs>
      <w:spacing w:before="280" w:after="60"/>
      <w:ind w:left="2560"/>
    </w:pPr>
  </w:style>
  <w:style w:type="paragraph" w:styleId="BalloonText">
    <w:name w:val="Balloon Text"/>
    <w:basedOn w:val="Normal"/>
    <w:link w:val="BalloonTextChar"/>
    <w:uiPriority w:val="99"/>
    <w:semiHidden/>
    <w:unhideWhenUsed/>
    <w:qFormat/>
    <w:rsid w:val="00ED29FF"/>
    <w:rPr>
      <w:rFonts w:ascii="Tahoma" w:hAnsi="Tahoma" w:cs="Tahoma"/>
      <w:sz w:val="16"/>
      <w:szCs w:val="16"/>
    </w:rPr>
  </w:style>
  <w:style w:type="paragraph" w:styleId="CommentText">
    <w:name w:val="annotation text"/>
    <w:basedOn w:val="Normal"/>
    <w:link w:val="CommentTextChar"/>
    <w:uiPriority w:val="99"/>
    <w:unhideWhenUsed/>
    <w:qFormat/>
    <w:rsid w:val="000C728A"/>
  </w:style>
  <w:style w:type="paragraph" w:styleId="CommentSubject">
    <w:name w:val="annotation subject"/>
    <w:basedOn w:val="CommentText"/>
    <w:link w:val="CommentSubjectChar"/>
    <w:uiPriority w:val="99"/>
    <w:semiHidden/>
    <w:unhideWhenUsed/>
    <w:qFormat/>
    <w:rsid w:val="000C728A"/>
    <w:rPr>
      <w:b/>
      <w:bCs/>
    </w:rPr>
  </w:style>
  <w:style w:type="paragraph" w:styleId="Revision">
    <w:name w:val="Revision"/>
    <w:uiPriority w:val="99"/>
    <w:semiHidden/>
    <w:qFormat/>
    <w:rsid w:val="004B44A7"/>
    <w:rPr>
      <w:rFonts w:ascii="Times New Roman" w:hAnsi="Times New Roman" w:cs="Times New Roman"/>
      <w:szCs w:val="20"/>
    </w:rPr>
  </w:style>
  <w:style w:type="paragraph" w:styleId="ListParagraph">
    <w:name w:val="List Paragraph"/>
    <w:basedOn w:val="Normal"/>
    <w:uiPriority w:val="34"/>
    <w:qFormat/>
    <w:rsid w:val="00AF15C5"/>
    <w:pPr>
      <w:spacing w:before="280" w:after="280"/>
      <w:ind w:left="720"/>
      <w:contextualSpacing/>
    </w:pPr>
  </w:style>
  <w:style w:type="paragraph" w:styleId="NoSpacing">
    <w:name w:val="No Spacing"/>
    <w:uiPriority w:val="1"/>
    <w:qFormat/>
    <w:rsid w:val="00F11C1C"/>
    <w:pPr>
      <w:spacing w:beforeAutospacing="1" w:afterAutospacing="1"/>
    </w:pPr>
    <w:rPr>
      <w:rFonts w:cs="Times New Roman"/>
      <w:szCs w:val="20"/>
    </w:rPr>
  </w:style>
  <w:style w:type="paragraph" w:styleId="Bibliography">
    <w:name w:val="Bibliography"/>
    <w:basedOn w:val="Normal"/>
    <w:next w:val="Normal"/>
    <w:uiPriority w:val="37"/>
    <w:unhideWhenUsed/>
    <w:qFormat/>
    <w:rsid w:val="00095C5E"/>
    <w:pPr>
      <w:tabs>
        <w:tab w:val="left" w:pos="504"/>
      </w:tabs>
      <w:spacing w:after="240" w:line="240" w:lineRule="auto"/>
      <w:ind w:left="504" w:hanging="504"/>
    </w:pPr>
  </w:style>
  <w:style w:type="table" w:styleId="TableGrid">
    <w:name w:val="Table Grid"/>
    <w:basedOn w:val="TableNormal"/>
    <w:uiPriority w:val="59"/>
    <w:rsid w:val="004D36A5"/>
    <w:tblPr>
      <w:tblInd w:w="0" w:type="dxa"/>
      <w:tblBorders>
        <w:top w:val="single" w:sz="4" w:space="0" w:color="auto"/>
        <w:bottom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14AD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7" w:uiPriority="39"/>
    <w:lsdException w:name="toc 8" w:uiPriority="39"/>
    <w:lsdException w:name="toc 9" w:uiPriority="39"/>
    <w:lsdException w:name="caption" w:semiHidden="0" w:qFormat="1"/>
    <w:lsdException w:name="Title" w:semiHidden="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537"/>
    <w:pPr>
      <w:spacing w:beforeAutospacing="1" w:afterAutospacing="1" w:line="360" w:lineRule="auto"/>
    </w:pPr>
    <w:rPr>
      <w:rFonts w:cs="Times New Roman"/>
      <w:sz w:val="24"/>
      <w:szCs w:val="20"/>
      <w:lang w:val="en-GB"/>
    </w:rPr>
  </w:style>
  <w:style w:type="paragraph" w:styleId="Heading1">
    <w:name w:val="heading 1"/>
    <w:basedOn w:val="Normal"/>
    <w:next w:val="Normal"/>
    <w:link w:val="Heading1Char"/>
    <w:uiPriority w:val="9"/>
    <w:qFormat/>
    <w:rsid w:val="00F11C1C"/>
    <w:pPr>
      <w:keepNext/>
      <w:widowControl w:val="0"/>
      <w:spacing w:line="240" w:lineRule="auto"/>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outlineLvl w:val="3"/>
    </w:pPr>
    <w:rPr>
      <w:b/>
      <w:bCs/>
      <w:szCs w:val="24"/>
    </w:rPr>
  </w:style>
  <w:style w:type="paragraph" w:styleId="Heading5">
    <w:name w:val="heading 5"/>
    <w:basedOn w:val="Normal"/>
    <w:next w:val="Normal"/>
    <w:link w:val="Heading5Char"/>
    <w:uiPriority w:val="99"/>
    <w:qFormat/>
    <w:rsid w:val="002D4020"/>
    <w:pPr>
      <w:keepLines/>
      <w:widowControl w:val="0"/>
      <w:spacing w:line="240" w:lineRule="auto"/>
      <w:outlineLvl w:val="4"/>
    </w:pPr>
    <w:rPr>
      <w:b/>
      <w:bCs/>
      <w:szCs w:val="24"/>
    </w:rPr>
  </w:style>
  <w:style w:type="paragraph" w:styleId="Heading6">
    <w:name w:val="heading 6"/>
    <w:basedOn w:val="Normal"/>
    <w:next w:val="Normal"/>
    <w:link w:val="Heading6Char"/>
    <w:uiPriority w:val="99"/>
    <w:qFormat/>
    <w:pPr>
      <w:keepNext/>
      <w:widowControl w:val="0"/>
      <w:spacing w:before="240" w:after="120"/>
      <w:outlineLvl w:val="5"/>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11C1C"/>
    <w:rPr>
      <w:rFonts w:cs="Times New Roman"/>
      <w:b/>
      <w:bCs/>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9"/>
    <w:qFormat/>
    <w:rsid w:val="002D4020"/>
    <w:rPr>
      <w:rFonts w:cs="Times New Roman"/>
      <w:b/>
      <w:bCs/>
      <w:sz w:val="20"/>
      <w:szCs w:val="24"/>
      <w:lang w:val="en-GB"/>
    </w:rPr>
  </w:style>
  <w:style w:type="character" w:customStyle="1" w:styleId="Heading6Char">
    <w:name w:val="Heading 6 Char"/>
    <w:basedOn w:val="DefaultParagraphFont"/>
    <w:link w:val="Heading6"/>
    <w:uiPriority w:val="9"/>
    <w:semiHidden/>
    <w:qFormat/>
    <w:rPr>
      <w:b/>
      <w:bCs/>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character" w:customStyle="1" w:styleId="FooterChar">
    <w:name w:val="Footer Char"/>
    <w:basedOn w:val="DefaultParagraphFont"/>
    <w:link w:val="Footer"/>
    <w:uiPriority w:val="99"/>
    <w:semiHidden/>
    <w:qFormat/>
    <w:rPr>
      <w:rFonts w:ascii="Times New Roman" w:hAnsi="Times New Roman" w:cs="Times New Roman"/>
      <w:sz w:val="20"/>
      <w:szCs w:val="20"/>
    </w:rPr>
  </w:style>
  <w:style w:type="character" w:customStyle="1" w:styleId="HeaderChar">
    <w:name w:val="Header Char"/>
    <w:basedOn w:val="DefaultParagraphFont"/>
    <w:link w:val="Header"/>
    <w:uiPriority w:val="99"/>
    <w:semiHidden/>
    <w:qFormat/>
    <w:rPr>
      <w:rFonts w:ascii="Times New Roman" w:hAnsi="Times New Roman" w:cs="Times New Roman"/>
      <w:sz w:val="20"/>
      <w:szCs w:val="20"/>
    </w:rPr>
  </w:style>
  <w:style w:type="character" w:customStyle="1" w:styleId="QuoteChar">
    <w:name w:val="Quote Char"/>
    <w:basedOn w:val="DefaultParagraphFont"/>
    <w:link w:val="Quote"/>
    <w:uiPriority w:val="29"/>
    <w:qFormat/>
    <w:rPr>
      <w:rFonts w:ascii="Times New Roman" w:hAnsi="Times New Roman" w:cs="Times New Roman"/>
      <w:i/>
      <w:iCs/>
      <w:color w:val="000000" w:themeColor="text1"/>
      <w:sz w:val="20"/>
      <w:szCs w:val="20"/>
    </w:rPr>
  </w:style>
  <w:style w:type="character" w:customStyle="1" w:styleId="FootnoteTextChar">
    <w:name w:val="Footnote Text Char"/>
    <w:basedOn w:val="DefaultParagraphFont"/>
    <w:link w:val="FootnoteText"/>
    <w:uiPriority w:val="99"/>
    <w:qFormat/>
    <w:rPr>
      <w:rFonts w:ascii="Times New Roman" w:hAnsi="Times New Roman" w:cs="Times New Roman"/>
      <w:sz w:val="20"/>
      <w:szCs w:val="20"/>
    </w:rPr>
  </w:style>
  <w:style w:type="character" w:customStyle="1" w:styleId="EndnoteTextChar">
    <w:name w:val="Endnote Text Char"/>
    <w:basedOn w:val="DefaultParagraphFont"/>
    <w:link w:val="EndnoteText"/>
    <w:uiPriority w:val="99"/>
    <w:semiHidden/>
    <w:qFormat/>
    <w:rPr>
      <w:rFonts w:ascii="Times New Roman" w:hAnsi="Times New Roman" w:cs="Times New Roman"/>
      <w:sz w:val="20"/>
      <w:szCs w:val="20"/>
    </w:rPr>
  </w:style>
  <w:style w:type="character" w:styleId="FootnoteReference">
    <w:name w:val="footnote reference"/>
    <w:basedOn w:val="DefaultParagraphFont"/>
    <w:uiPriority w:val="99"/>
    <w:semiHidden/>
    <w:unhideWhenUsed/>
    <w:qFormat/>
    <w:rPr>
      <w:vertAlign w:val="superscript"/>
    </w:rPr>
  </w:style>
  <w:style w:type="character" w:styleId="EndnoteReference">
    <w:name w:val="endnote reference"/>
    <w:basedOn w:val="DefaultParagraphFont"/>
    <w:uiPriority w:val="99"/>
    <w:qFormat/>
    <w:rPr>
      <w:vertAlign w:val="superscript"/>
    </w:rPr>
  </w:style>
  <w:style w:type="character" w:customStyle="1" w:styleId="BalloonTextChar">
    <w:name w:val="Balloon Text Char"/>
    <w:basedOn w:val="DefaultParagraphFont"/>
    <w:link w:val="BalloonText"/>
    <w:uiPriority w:val="99"/>
    <w:semiHidden/>
    <w:qFormat/>
    <w:rsid w:val="00ED29FF"/>
    <w:rPr>
      <w:rFonts w:ascii="Tahoma" w:hAnsi="Tahoma" w:cs="Tahoma"/>
      <w:sz w:val="16"/>
      <w:szCs w:val="16"/>
    </w:rPr>
  </w:style>
  <w:style w:type="character" w:styleId="CommentReference">
    <w:name w:val="annotation reference"/>
    <w:basedOn w:val="DefaultParagraphFont"/>
    <w:uiPriority w:val="99"/>
    <w:semiHidden/>
    <w:unhideWhenUsed/>
    <w:qFormat/>
    <w:rsid w:val="000C728A"/>
    <w:rPr>
      <w:sz w:val="16"/>
      <w:szCs w:val="16"/>
    </w:rPr>
  </w:style>
  <w:style w:type="character" w:customStyle="1" w:styleId="CommentTextChar">
    <w:name w:val="Comment Text Char"/>
    <w:basedOn w:val="DefaultParagraphFont"/>
    <w:link w:val="CommentText"/>
    <w:uiPriority w:val="99"/>
    <w:qFormat/>
    <w:rsid w:val="000C728A"/>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0C728A"/>
    <w:rPr>
      <w:rFonts w:ascii="Times New Roman" w:hAnsi="Times New Roman" w:cs="Times New Roman"/>
      <w:b/>
      <w:bCs/>
      <w:sz w:val="20"/>
      <w:szCs w:val="20"/>
    </w:rPr>
  </w:style>
  <w:style w:type="character" w:customStyle="1" w:styleId="InternetLink">
    <w:name w:val="Internet Link"/>
    <w:basedOn w:val="DefaultParagraphFont"/>
    <w:uiPriority w:val="99"/>
    <w:unhideWhenUsed/>
    <w:rsid w:val="00982A14"/>
    <w:rPr>
      <w:color w:val="0000FF" w:themeColor="hyperlink"/>
      <w:u w:val="single"/>
    </w:rPr>
  </w:style>
  <w:style w:type="character" w:styleId="LineNumber">
    <w:name w:val="line number"/>
    <w:basedOn w:val="DefaultParagraphFont"/>
    <w:uiPriority w:val="99"/>
    <w:semiHidden/>
    <w:unhideWhenUsed/>
    <w:qFormat/>
    <w:rsid w:val="00E23521"/>
    <w:rPr>
      <w:color w:val="BFBFBF" w:themeColor="background1" w:themeShade="BF"/>
      <w:sz w:val="12"/>
    </w:rPr>
  </w:style>
  <w:style w:type="character" w:styleId="PlaceholderText">
    <w:name w:val="Placeholder Text"/>
    <w:basedOn w:val="DefaultParagraphFont"/>
    <w:uiPriority w:val="99"/>
    <w:semiHidden/>
    <w:qFormat/>
    <w:rsid w:val="00AE3D3F"/>
    <w:rPr>
      <w:color w:val="808080"/>
    </w:rPr>
  </w:style>
  <w:style w:type="character" w:styleId="FollowedHyperlink">
    <w:name w:val="FollowedHyperlink"/>
    <w:basedOn w:val="DefaultParagraphFont"/>
    <w:uiPriority w:val="99"/>
    <w:semiHidden/>
    <w:unhideWhenUsed/>
    <w:qFormat/>
    <w:rsid w:val="00236962"/>
    <w:rPr>
      <w:color w:val="800080" w:themeColor="followedHyperlink"/>
      <w:u w:val="single"/>
    </w:rPr>
  </w:style>
  <w:style w:type="character" w:customStyle="1" w:styleId="ListLabel1">
    <w:name w:val="ListLabel 1"/>
    <w:qFormat/>
    <w:rPr>
      <w:rFonts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Times New Roman"/>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Times New Roman"/>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Times New Roman"/>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VisitedInternetLink">
    <w:name w:val="Visited Internet Link"/>
    <w:rPr>
      <w:color w:val="80000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Normal"/>
    <w:uiPriority w:val="99"/>
    <w:pPr>
      <w:tabs>
        <w:tab w:val="left" w:pos="283"/>
      </w:tabs>
      <w:spacing w:before="280" w:after="120"/>
      <w:ind w:left="283" w:hanging="283"/>
    </w:pPr>
  </w:style>
  <w:style w:type="paragraph" w:styleId="Caption">
    <w:name w:val="caption"/>
    <w:basedOn w:val="Normal"/>
    <w:next w:val="Normal"/>
    <w:uiPriority w:val="99"/>
    <w:qFormat/>
    <w:rsid w:val="00964ED0"/>
    <w:pPr>
      <w:keepLines/>
      <w:spacing w:before="120" w:after="120"/>
    </w:pPr>
    <w:rPr>
      <w:i/>
      <w:szCs w:val="24"/>
    </w:rPr>
  </w:style>
  <w:style w:type="paragraph" w:customStyle="1" w:styleId="Index">
    <w:name w:val="Index"/>
    <w:basedOn w:val="Normal"/>
    <w:qFormat/>
    <w:pPr>
      <w:suppressLineNumbers/>
    </w:pPr>
    <w:rPr>
      <w:rFonts w:cs="FreeSans"/>
    </w:rPr>
  </w:style>
  <w:style w:type="paragraph" w:customStyle="1" w:styleId="Part">
    <w:name w:val="Part"/>
    <w:basedOn w:val="Normal"/>
    <w:next w:val="Normal"/>
    <w:uiPriority w:val="99"/>
    <w:qFormat/>
    <w:pPr>
      <w:keepNext/>
      <w:widowControl w:val="0"/>
      <w:spacing w:before="240" w:after="120"/>
      <w:jc w:val="center"/>
    </w:pPr>
    <w:rPr>
      <w:b/>
      <w:bCs/>
      <w:sz w:val="40"/>
      <w:szCs w:val="40"/>
    </w:rPr>
  </w:style>
  <w:style w:type="paragraph" w:customStyle="1" w:styleId="rightpar">
    <w:name w:val="rightpar"/>
    <w:basedOn w:val="Normal"/>
    <w:uiPriority w:val="99"/>
    <w:qFormat/>
    <w:pPr>
      <w:keepLines/>
      <w:spacing w:before="120" w:after="120"/>
      <w:jc w:val="right"/>
    </w:pPr>
    <w:rPr>
      <w:szCs w:val="24"/>
    </w:rPr>
  </w:style>
  <w:style w:type="paragraph" w:customStyle="1" w:styleId="centerpar">
    <w:name w:val="centerpar"/>
    <w:basedOn w:val="Normal"/>
    <w:uiPriority w:val="99"/>
    <w:qFormat/>
    <w:pPr>
      <w:keepLines/>
      <w:spacing w:before="120" w:after="120"/>
      <w:jc w:val="center"/>
    </w:pPr>
    <w:rPr>
      <w:szCs w:val="24"/>
    </w:rPr>
  </w:style>
  <w:style w:type="paragraph" w:customStyle="1" w:styleId="equation">
    <w:name w:val="equation"/>
    <w:basedOn w:val="Normal"/>
    <w:next w:val="Normal"/>
    <w:uiPriority w:val="99"/>
    <w:qFormat/>
    <w:pPr>
      <w:keepLines/>
      <w:spacing w:before="120" w:after="120"/>
    </w:pPr>
    <w:rPr>
      <w:szCs w:val="24"/>
    </w:rPr>
  </w:style>
  <w:style w:type="paragraph" w:customStyle="1" w:styleId="equationNum">
    <w:name w:val="equationNum"/>
    <w:basedOn w:val="Normal"/>
    <w:next w:val="Normal"/>
    <w:uiPriority w:val="99"/>
    <w:qFormat/>
    <w:pPr>
      <w:keepLines/>
      <w:spacing w:before="120" w:after="120"/>
    </w:pPr>
    <w:rPr>
      <w:szCs w:val="24"/>
    </w:rPr>
  </w:style>
  <w:style w:type="paragraph" w:customStyle="1" w:styleId="equationAlign">
    <w:name w:val="equationAlign"/>
    <w:basedOn w:val="Normal"/>
    <w:next w:val="Normal"/>
    <w:uiPriority w:val="99"/>
    <w:qFormat/>
    <w:pPr>
      <w:keepLines/>
      <w:spacing w:before="120" w:after="120"/>
    </w:pPr>
    <w:rPr>
      <w:szCs w:val="24"/>
    </w:rPr>
  </w:style>
  <w:style w:type="paragraph" w:customStyle="1" w:styleId="equationAlignNum">
    <w:name w:val="equationAlignNum"/>
    <w:basedOn w:val="Normal"/>
    <w:next w:val="Normal"/>
    <w:uiPriority w:val="99"/>
    <w:qFormat/>
    <w:pPr>
      <w:keepLines/>
      <w:spacing w:before="120" w:after="120"/>
    </w:pPr>
    <w:rPr>
      <w:szCs w:val="24"/>
    </w:rPr>
  </w:style>
  <w:style w:type="paragraph" w:customStyle="1" w:styleId="equationArray">
    <w:name w:val="equationArray"/>
    <w:basedOn w:val="Normal"/>
    <w:next w:val="Normal"/>
    <w:uiPriority w:val="99"/>
    <w:qFormat/>
    <w:pPr>
      <w:keepLines/>
      <w:spacing w:before="120" w:after="120"/>
    </w:pPr>
    <w:rPr>
      <w:szCs w:val="24"/>
    </w:rPr>
  </w:style>
  <w:style w:type="paragraph" w:customStyle="1" w:styleId="equationArrayNum">
    <w:name w:val="equationArrayNum"/>
    <w:basedOn w:val="Normal"/>
    <w:next w:val="Normal"/>
    <w:uiPriority w:val="99"/>
    <w:qFormat/>
    <w:pPr>
      <w:keepLines/>
      <w:spacing w:before="120" w:after="120"/>
    </w:pPr>
    <w:rPr>
      <w:szCs w:val="24"/>
    </w:rPr>
  </w:style>
  <w:style w:type="paragraph" w:customStyle="1" w:styleId="theorem">
    <w:name w:val="theorem"/>
    <w:basedOn w:val="Normal"/>
    <w:next w:val="Normal"/>
    <w:uiPriority w:val="99"/>
    <w:qFormat/>
    <w:pPr>
      <w:keepLines/>
      <w:spacing w:before="120" w:after="120"/>
    </w:pPr>
  </w:style>
  <w:style w:type="paragraph" w:customStyle="1" w:styleId="bitmapCenter">
    <w:name w:val="bitmapCenter"/>
    <w:basedOn w:val="Normal"/>
    <w:next w:val="Normal"/>
    <w:uiPriority w:val="99"/>
    <w:qFormat/>
    <w:pPr>
      <w:keepLines/>
      <w:spacing w:before="120" w:after="120"/>
    </w:pPr>
    <w:rPr>
      <w:szCs w:val="24"/>
    </w:rPr>
  </w:style>
  <w:style w:type="paragraph" w:styleId="Title">
    <w:name w:val="Title"/>
    <w:basedOn w:val="Normal"/>
    <w:link w:val="TitleChar"/>
    <w:uiPriority w:val="99"/>
    <w:qFormat/>
    <w:pPr>
      <w:widowControl w:val="0"/>
      <w:spacing w:before="240" w:after="240"/>
      <w:jc w:val="center"/>
    </w:pPr>
    <w:rPr>
      <w:b/>
      <w:bCs/>
      <w:sz w:val="36"/>
      <w:szCs w:val="36"/>
    </w:rPr>
  </w:style>
  <w:style w:type="paragraph" w:customStyle="1" w:styleId="author">
    <w:name w:val="author"/>
    <w:basedOn w:val="Normal"/>
    <w:next w:val="Normal"/>
    <w:uiPriority w:val="99"/>
    <w:qFormat/>
    <w:pPr>
      <w:widowControl w:val="0"/>
      <w:spacing w:before="280" w:after="120"/>
      <w:jc w:val="center"/>
    </w:pPr>
  </w:style>
  <w:style w:type="paragraph" w:styleId="Footer">
    <w:name w:val="footer"/>
    <w:basedOn w:val="Normal"/>
    <w:link w:val="FooterChar"/>
    <w:uiPriority w:val="99"/>
    <w:pPr>
      <w:widowControl w:val="0"/>
      <w:suppressLineNumbers/>
      <w:tabs>
        <w:tab w:val="center" w:pos="4536"/>
        <w:tab w:val="right" w:pos="9072"/>
      </w:tabs>
    </w:pPr>
  </w:style>
  <w:style w:type="paragraph" w:styleId="Header">
    <w:name w:val="header"/>
    <w:basedOn w:val="Normal"/>
    <w:link w:val="HeaderChar"/>
    <w:uiPriority w:val="99"/>
    <w:pPr>
      <w:widowControl w:val="0"/>
      <w:suppressLineNumbers/>
      <w:tabs>
        <w:tab w:val="center" w:pos="4536"/>
        <w:tab w:val="right" w:pos="9072"/>
      </w:tabs>
    </w:pPr>
  </w:style>
  <w:style w:type="paragraph" w:customStyle="1" w:styleId="Figure">
    <w:name w:val="Figure"/>
    <w:basedOn w:val="Normal"/>
    <w:next w:val="Normal"/>
    <w:uiPriority w:val="99"/>
    <w:qFormat/>
    <w:pPr>
      <w:keepLines/>
      <w:spacing w:before="120" w:after="280"/>
      <w:jc w:val="center"/>
    </w:pPr>
  </w:style>
  <w:style w:type="paragraph" w:customStyle="1" w:styleId="Table">
    <w:name w:val="Table"/>
    <w:basedOn w:val="Normal"/>
    <w:uiPriority w:val="99"/>
    <w:qFormat/>
    <w:pPr>
      <w:keepLines/>
      <w:spacing w:before="120" w:after="280"/>
      <w:jc w:val="center"/>
    </w:pPr>
  </w:style>
  <w:style w:type="paragraph" w:customStyle="1" w:styleId="Tabular">
    <w:name w:val="Tabular"/>
    <w:basedOn w:val="Normal"/>
    <w:uiPriority w:val="99"/>
    <w:qFormat/>
    <w:pPr>
      <w:keepLines/>
      <w:spacing w:before="120" w:after="280"/>
      <w:jc w:val="center"/>
    </w:pPr>
  </w:style>
  <w:style w:type="paragraph" w:customStyle="1" w:styleId="Tabbing">
    <w:name w:val="Tabbing"/>
    <w:basedOn w:val="Normal"/>
    <w:uiPriority w:val="99"/>
    <w:qFormat/>
    <w:pPr>
      <w:keepLines/>
      <w:spacing w:before="120" w:after="280"/>
      <w:jc w:val="center"/>
    </w:pPr>
  </w:style>
  <w:style w:type="paragraph" w:styleId="Quote">
    <w:name w:val="Quote"/>
    <w:basedOn w:val="Normal"/>
    <w:link w:val="QuoteChar"/>
    <w:uiPriority w:val="99"/>
    <w:qFormat/>
    <w:pPr>
      <w:ind w:left="1024" w:right="1024" w:firstLine="340"/>
    </w:pPr>
  </w:style>
  <w:style w:type="paragraph" w:customStyle="1" w:styleId="verbatim">
    <w:name w:val="verbatim"/>
    <w:uiPriority w:val="99"/>
    <w:qFormat/>
    <w:rPr>
      <w:rFonts w:ascii="Courier New" w:hAnsi="Courier New" w:cs="Courier New"/>
      <w:szCs w:val="20"/>
    </w:rPr>
  </w:style>
  <w:style w:type="paragraph" w:customStyle="1" w:styleId="List21">
    <w:name w:val="List 21"/>
    <w:basedOn w:val="Normal"/>
    <w:uiPriority w:val="99"/>
    <w:pPr>
      <w:tabs>
        <w:tab w:val="left" w:pos="283"/>
      </w:tabs>
      <w:spacing w:before="280" w:after="120"/>
      <w:ind w:left="283" w:hanging="283"/>
    </w:pPr>
  </w:style>
  <w:style w:type="paragraph" w:customStyle="1" w:styleId="latexpicture">
    <w:name w:val="latex picture"/>
    <w:basedOn w:val="Normal"/>
    <w:next w:val="Normal"/>
    <w:uiPriority w:val="99"/>
    <w:qFormat/>
    <w:pPr>
      <w:keepLines/>
      <w:spacing w:before="120" w:after="120"/>
      <w:jc w:val="center"/>
    </w:pPr>
    <w:rPr>
      <w:szCs w:val="24"/>
    </w:rPr>
  </w:style>
  <w:style w:type="paragraph" w:customStyle="1" w:styleId="subfigure">
    <w:name w:val="subfigure"/>
    <w:basedOn w:val="Normal"/>
    <w:next w:val="Normal"/>
    <w:uiPriority w:val="99"/>
    <w:qFormat/>
    <w:pPr>
      <w:keepLines/>
      <w:spacing w:before="120" w:after="120"/>
      <w:jc w:val="center"/>
    </w:pPr>
    <w:rPr>
      <w:szCs w:val="24"/>
    </w:rPr>
  </w:style>
  <w:style w:type="paragraph" w:customStyle="1" w:styleId="bibheading">
    <w:name w:val="bibheading"/>
    <w:basedOn w:val="Normal"/>
    <w:uiPriority w:val="99"/>
    <w:qFormat/>
    <w:pPr>
      <w:keepNext/>
      <w:widowControl w:val="0"/>
      <w:spacing w:before="240" w:after="120"/>
    </w:pPr>
    <w:rPr>
      <w:b/>
      <w:bCs/>
      <w:sz w:val="32"/>
      <w:szCs w:val="32"/>
    </w:rPr>
  </w:style>
  <w:style w:type="paragraph" w:customStyle="1" w:styleId="bibitem">
    <w:name w:val="bibitem"/>
    <w:basedOn w:val="Normal"/>
    <w:uiPriority w:val="99"/>
    <w:qFormat/>
    <w:pPr>
      <w:widowControl w:val="0"/>
      <w:ind w:left="567" w:hanging="567"/>
    </w:pPr>
  </w:style>
  <w:style w:type="paragraph" w:customStyle="1" w:styleId="endnotes">
    <w:name w:val="endnotes"/>
    <w:basedOn w:val="Normal"/>
    <w:uiPriority w:val="99"/>
    <w:qFormat/>
    <w:pPr>
      <w:tabs>
        <w:tab w:val="left" w:pos="283"/>
      </w:tabs>
      <w:spacing w:before="280" w:after="120"/>
      <w:ind w:left="283" w:hanging="283"/>
    </w:pPr>
  </w:style>
  <w:style w:type="paragraph" w:styleId="FootnoteText">
    <w:name w:val="footnote text"/>
    <w:basedOn w:val="Normal"/>
    <w:link w:val="FootnoteTextChar"/>
    <w:uiPriority w:val="99"/>
    <w:qFormat/>
    <w:pPr>
      <w:widowControl w:val="0"/>
      <w:ind w:left="397" w:hanging="113"/>
    </w:pPr>
  </w:style>
  <w:style w:type="paragraph" w:styleId="EndnoteText">
    <w:name w:val="endnote text"/>
    <w:basedOn w:val="Normal"/>
    <w:link w:val="EndnoteTextChar"/>
    <w:uiPriority w:val="99"/>
    <w:qFormat/>
    <w:pPr>
      <w:widowControl w:val="0"/>
      <w:ind w:left="454" w:hanging="170"/>
    </w:pPr>
  </w:style>
  <w:style w:type="paragraph" w:customStyle="1" w:styleId="acronym">
    <w:name w:val="acronym"/>
    <w:basedOn w:val="Normal"/>
    <w:uiPriority w:val="99"/>
    <w:qFormat/>
    <w:pPr>
      <w:keepNext/>
      <w:widowControl w:val="0"/>
      <w:spacing w:before="280" w:after="60"/>
    </w:pPr>
  </w:style>
  <w:style w:type="paragraph" w:customStyle="1" w:styleId="abstracttitle">
    <w:name w:val="abstract title"/>
    <w:basedOn w:val="Normal"/>
    <w:uiPriority w:val="99"/>
    <w:qFormat/>
    <w:pPr>
      <w:widowControl w:val="0"/>
      <w:spacing w:before="280" w:after="120"/>
      <w:jc w:val="center"/>
    </w:pPr>
    <w:rPr>
      <w:b/>
      <w:bCs/>
    </w:rPr>
  </w:style>
  <w:style w:type="paragraph" w:customStyle="1" w:styleId="abstract">
    <w:name w:val="abstract"/>
    <w:basedOn w:val="Normal"/>
    <w:next w:val="Normal"/>
    <w:uiPriority w:val="99"/>
    <w:qFormat/>
    <w:pPr>
      <w:ind w:left="1024" w:right="1024" w:firstLine="340"/>
    </w:pPr>
  </w:style>
  <w:style w:type="paragraph" w:customStyle="1" w:styleId="contentsheading">
    <w:name w:val="contents_heading"/>
    <w:basedOn w:val="Normal"/>
    <w:next w:val="Normal"/>
    <w:uiPriority w:val="99"/>
    <w:qFormat/>
    <w:pPr>
      <w:keepNext/>
      <w:widowControl w:val="0"/>
      <w:spacing w:before="240" w:after="120"/>
    </w:pPr>
    <w:rPr>
      <w:b/>
      <w:bCs/>
    </w:rPr>
  </w:style>
  <w:style w:type="paragraph" w:styleId="TOC1">
    <w:name w:val="toc 1"/>
    <w:basedOn w:val="Normal"/>
    <w:next w:val="TOC2"/>
    <w:uiPriority w:val="99"/>
    <w:pPr>
      <w:keepNext/>
      <w:widowControl w:val="0"/>
      <w:tabs>
        <w:tab w:val="right" w:leader="dot" w:pos="8222"/>
      </w:tabs>
      <w:spacing w:before="240" w:after="60"/>
      <w:ind w:left="425"/>
    </w:pPr>
    <w:rPr>
      <w:b/>
      <w:bCs/>
    </w:rPr>
  </w:style>
  <w:style w:type="paragraph" w:styleId="TOC2">
    <w:name w:val="toc 2"/>
    <w:basedOn w:val="Normal"/>
    <w:next w:val="TOC3"/>
    <w:uiPriority w:val="99"/>
    <w:pPr>
      <w:keepNext/>
      <w:widowControl w:val="0"/>
      <w:tabs>
        <w:tab w:val="right" w:leader="dot" w:pos="8222"/>
      </w:tabs>
      <w:spacing w:before="280" w:after="60"/>
      <w:ind w:left="512"/>
    </w:pPr>
  </w:style>
  <w:style w:type="paragraph" w:styleId="TOC3">
    <w:name w:val="toc 3"/>
    <w:basedOn w:val="Normal"/>
    <w:next w:val="TOC4"/>
    <w:uiPriority w:val="99"/>
    <w:pPr>
      <w:keepNext/>
      <w:widowControl w:val="0"/>
      <w:tabs>
        <w:tab w:val="right" w:leader="dot" w:pos="8222"/>
      </w:tabs>
      <w:spacing w:before="280" w:after="60"/>
      <w:ind w:left="1024"/>
    </w:pPr>
  </w:style>
  <w:style w:type="paragraph" w:styleId="TOC4">
    <w:name w:val="toc 4"/>
    <w:basedOn w:val="Normal"/>
    <w:next w:val="TOC5"/>
    <w:uiPriority w:val="99"/>
    <w:pPr>
      <w:keepNext/>
      <w:widowControl w:val="0"/>
      <w:tabs>
        <w:tab w:val="right" w:leader="dot" w:pos="8222"/>
      </w:tabs>
      <w:spacing w:before="280" w:after="60"/>
      <w:ind w:left="1536"/>
    </w:pPr>
  </w:style>
  <w:style w:type="paragraph" w:styleId="TOC5">
    <w:name w:val="toc 5"/>
    <w:basedOn w:val="Normal"/>
    <w:next w:val="TOC6"/>
    <w:uiPriority w:val="99"/>
    <w:pPr>
      <w:keepNext/>
      <w:widowControl w:val="0"/>
      <w:tabs>
        <w:tab w:val="right" w:leader="dot" w:pos="8222"/>
      </w:tabs>
      <w:spacing w:before="280" w:after="60"/>
      <w:ind w:left="2048"/>
    </w:pPr>
  </w:style>
  <w:style w:type="paragraph" w:styleId="TOC6">
    <w:name w:val="toc 6"/>
    <w:basedOn w:val="Normal"/>
    <w:uiPriority w:val="99"/>
    <w:pPr>
      <w:keepNext/>
      <w:widowControl w:val="0"/>
      <w:tabs>
        <w:tab w:val="right" w:leader="dot" w:pos="8222"/>
      </w:tabs>
      <w:spacing w:before="280" w:after="60"/>
      <w:ind w:left="2560"/>
    </w:pPr>
  </w:style>
  <w:style w:type="paragraph" w:styleId="BalloonText">
    <w:name w:val="Balloon Text"/>
    <w:basedOn w:val="Normal"/>
    <w:link w:val="BalloonTextChar"/>
    <w:uiPriority w:val="99"/>
    <w:semiHidden/>
    <w:unhideWhenUsed/>
    <w:qFormat/>
    <w:rsid w:val="00ED29FF"/>
    <w:rPr>
      <w:rFonts w:ascii="Tahoma" w:hAnsi="Tahoma" w:cs="Tahoma"/>
      <w:sz w:val="16"/>
      <w:szCs w:val="16"/>
    </w:rPr>
  </w:style>
  <w:style w:type="paragraph" w:styleId="CommentText">
    <w:name w:val="annotation text"/>
    <w:basedOn w:val="Normal"/>
    <w:link w:val="CommentTextChar"/>
    <w:uiPriority w:val="99"/>
    <w:unhideWhenUsed/>
    <w:qFormat/>
    <w:rsid w:val="000C728A"/>
  </w:style>
  <w:style w:type="paragraph" w:styleId="CommentSubject">
    <w:name w:val="annotation subject"/>
    <w:basedOn w:val="CommentText"/>
    <w:link w:val="CommentSubjectChar"/>
    <w:uiPriority w:val="99"/>
    <w:semiHidden/>
    <w:unhideWhenUsed/>
    <w:qFormat/>
    <w:rsid w:val="000C728A"/>
    <w:rPr>
      <w:b/>
      <w:bCs/>
    </w:rPr>
  </w:style>
  <w:style w:type="paragraph" w:styleId="Revision">
    <w:name w:val="Revision"/>
    <w:uiPriority w:val="99"/>
    <w:semiHidden/>
    <w:qFormat/>
    <w:rsid w:val="004B44A7"/>
    <w:rPr>
      <w:rFonts w:ascii="Times New Roman" w:hAnsi="Times New Roman" w:cs="Times New Roman"/>
      <w:szCs w:val="20"/>
    </w:rPr>
  </w:style>
  <w:style w:type="paragraph" w:styleId="ListParagraph">
    <w:name w:val="List Paragraph"/>
    <w:basedOn w:val="Normal"/>
    <w:uiPriority w:val="34"/>
    <w:qFormat/>
    <w:rsid w:val="00AF15C5"/>
    <w:pPr>
      <w:spacing w:before="280" w:after="280"/>
      <w:ind w:left="720"/>
      <w:contextualSpacing/>
    </w:pPr>
  </w:style>
  <w:style w:type="paragraph" w:styleId="NoSpacing">
    <w:name w:val="No Spacing"/>
    <w:uiPriority w:val="1"/>
    <w:qFormat/>
    <w:rsid w:val="00F11C1C"/>
    <w:pPr>
      <w:spacing w:beforeAutospacing="1" w:afterAutospacing="1"/>
    </w:pPr>
    <w:rPr>
      <w:rFonts w:cs="Times New Roman"/>
      <w:szCs w:val="20"/>
    </w:rPr>
  </w:style>
  <w:style w:type="paragraph" w:styleId="Bibliography">
    <w:name w:val="Bibliography"/>
    <w:basedOn w:val="Normal"/>
    <w:next w:val="Normal"/>
    <w:uiPriority w:val="37"/>
    <w:unhideWhenUsed/>
    <w:qFormat/>
    <w:rsid w:val="00095C5E"/>
    <w:pPr>
      <w:tabs>
        <w:tab w:val="left" w:pos="504"/>
      </w:tabs>
      <w:spacing w:after="240" w:line="240" w:lineRule="auto"/>
      <w:ind w:left="504" w:hanging="504"/>
    </w:pPr>
  </w:style>
  <w:style w:type="table" w:styleId="TableGrid">
    <w:name w:val="Table Grid"/>
    <w:basedOn w:val="TableNormal"/>
    <w:uiPriority w:val="59"/>
    <w:rsid w:val="004D36A5"/>
    <w:tblPr>
      <w:tblInd w:w="0" w:type="dxa"/>
      <w:tblBorders>
        <w:top w:val="single" w:sz="4" w:space="0" w:color="auto"/>
        <w:bottom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14A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www.encepp.eu/encepp/viewResource.htm?id=8323" TargetMode="Externa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feguard-diabetes.org" TargetMode="External"/><Relationship Id="rId5" Type="http://schemas.openxmlformats.org/officeDocument/2006/relationships/settings" Target="settings.xml"/><Relationship Id="rId15" Type="http://schemas.openxmlformats.org/officeDocument/2006/relationships/image" Target="media/image3.jpg"/><Relationship Id="rId10" Type="http://schemas.openxmlformats.org/officeDocument/2006/relationships/hyperlink" Target="https://euadr.erasmusmc.nl/CodeMapper"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b.becker@erasmusmc.nl"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Trifiro2014CombiningReview</b:Tag>
    <b:SourceType>ArticleInAPeriodical</b:SourceType>
    <b:Publisher>Wiley-Blackwell</b:Publisher>
    <b:Year>2014</b:Year>
    <b:Month>may</b:Month>
    <b:PeriodicalTitle>J Intern Med</b:PeriodicalTitle>
    <b:Volume>275</b:Volume>
    <b:Issue>6</b:Issue>
    <b:Url>http://dx.doi.org/10.1111/joim.12159</b:Url>
    <b:Pages>551-561</b:Pages>
    <b:Author>
      <b:Author>
        <b:NameList>
          <b:Person>
            <b:Last>Trifirò</b:Last>
            <b:First>G</b:First>
          </b:Person>
          <b:Person>
            <b:Last>Coloma</b:Last>
            <b:First>P</b:First>
            <b:Middle>M</b:Middle>
          </b:Person>
          <b:Person>
            <b:Last>Rijnbeek</b:Last>
            <b:First>P</b:First>
            <b:Middle>R</b:Middle>
          </b:Person>
          <b:Person>
            <b:Last>Romio</b:Last>
            <b:First>S</b:First>
          </b:Person>
          <b:Person>
            <b:Last>Mosseveld</b:Last>
            <b:First>B</b:First>
          </b:Person>
          <b:Person>
            <b:Last>Weibel</b:Last>
            <b:First>D</b:First>
          </b:Person>
          <b:Person>
            <b:Last>Bonhoeffer</b:Last>
            <b:First>J</b:First>
          </b:Person>
          <b:Person>
            <b:Last>Schuemie</b:Last>
            <b:First>M</b:First>
          </b:Person>
          <b:Person>
            <b:Last>van der Lei</b:Last>
            <b:First>J</b:First>
          </b:Person>
          <b:Person>
            <b:Last>Sturkenboom</b:Last>
            <b:First>M</b:First>
          </b:Person>
        </b:NameList>
      </b:Author>
    </b:Author>
    <b:Title>Combining multiple healthcare databases for postmarketing drug and vaccine safety surveillance: why and how?</b:Title>
    <b:RefOrder>1</b:RefOrder>
  </b:Source>
  <b:Source>
    <b:SourceType>JournalArticle</b:SourceType>
    <b:Tag>avillach2013harmonization</b:Tag>
    <b:Title>Harmonization process for the identification of medical events in eight European healthcare databases: the experience from the EU-ADR project</b:Title>
    <b:Year>2013</b:Year>
    <b:Author>
      <b:Author>
        <b:NameList>
          <b:Person>
            <b:Last>Avillach</b:Last>
            <b:First>Paul</b:First>
          </b:Person>
          <b:Person>
            <b:Last>Coloma</b:Last>
            <b:Middle>M</b:Middle>
            <b:First>Preciosa</b:First>
          </b:Person>
          <b:Person>
            <b:Last>Gini</b:Last>
            <b:First>Rosa</b:First>
          </b:Person>
          <b:Person>
            <b:Last>Schuemie</b:Last>
            <b:First>Martijn</b:First>
          </b:Person>
          <b:Person>
            <b:Last>Mougin</b:Last>
            <b:First>Fleur</b:First>
          </b:Person>
          <b:Person>
            <b:Last>Dufour</b:Last>
            <b:First>Jean-Charles</b:First>
          </b:Person>
          <b:Person>
            <b:Last>Mazzaglia</b:Last>
            <b:First>Giampiero</b:First>
          </b:Person>
          <b:Person>
            <b:Last>Giaquinto</b:Last>
            <b:First>Carlo</b:First>
          </b:Person>
          <b:Person>
            <b:Last>Fog/stunari</b:Last>
            <b:First>Carla</b:First>
          </b:Person>
          <b:Person>
            <b:Last>Herings</b:Last>
            <b:First>Ron</b:First>
          </b:Person>
          <b:Person>
            <b:Last>others</b:Last>
          </b:Person>
        </b:NameList>
      </b:Author>
    </b:Author>
    <b:Pages>184-192</b:Pages>
    <b:Volume>20</b:Volume>
    <b:Publisher>The Oxford University Press</b:Publisher>
    <b:JournalName>J Am Med Inform Assoc</b:JournalName>
    <b:Issue>1</b:Issue>
    <b:RefOrder>5</b:RefOrder>
  </b:Source>
  <b:Source>
    <b:SourceType>JournalArticle</b:SourceType>
    <b:Tag>avillach2009design</b:Tag>
    <b:Title>Design and evaluation of a semantic approach for the homogeneous identification of events in eight patient databases: a contribution to the European EU-ADR project.</b:Title>
    <b:Year>2009</b:Year>
    <b:Author>
      <b:Author>
        <b:NameList>
          <b:Person>
            <b:Last>Avillach</b:Last>
            <b:First>Paul</b:First>
          </b:Person>
          <b:Person>
            <b:Last>Joubert</b:Last>
            <b:First>Michel</b:First>
          </b:Person>
          <b:Person>
            <b:Last>Thiessard</b:Last>
            <b:First>Frantz</b:First>
          </b:Person>
          <b:Person>
            <b:Last>Trifir{\`o}</b:Last>
            <b:First>Gianluca</b:First>
          </b:Person>
          <b:Person>
            <b:Last>Dufour</b:Last>
            <b:First>Jean-Charles</b:First>
          </b:Person>
          <b:Person>
            <b:Last>Pariente</b:Last>
            <b:First>Antoine</b:First>
          </b:Person>
          <b:Person>
            <b:Last>Mougin</b:Last>
            <b:First>Fleur</b:First>
          </b:Person>
          <b:Person>
            <b:Last>Polimeni</b:Last>
            <b:First>Giovanni</b:First>
          </b:Person>
          <b:Person>
            <b:Last>Catania</b:Last>
            <b:Middle>Antonietta</b:Middle>
            <b:First>Maria</b:First>
          </b:Person>
          <b:Person>
            <b:Last>Giaquinto</b:Last>
            <b:First>Carlo</b:First>
          </b:Person>
          <b:Person>
            <b:Last>others</b:Last>
          </b:Person>
        </b:NameList>
      </b:Author>
    </b:Author>
    <b:Pages>1085-1089</b:Pages>
    <b:Volume>160</b:Volume>
    <b:JournalName>Studies in health technology and informatics</b:JournalName>
    <b:Issue>Pt 2</b:Issue>
    <b:RefOrder>3</b:RefOrder>
  </b:Source>
  <b:Source>
    <b:SourceType>JournalArticle</b:SourceType>
    <b:Tag>coloma2011combining</b:Tag>
    <b:Title>Combining electronic healthcare databases in Europe to allow for large-scale drug safety monitoring: the EU-ADR Project</b:Title>
    <b:Year>2011</b:Year>
    <b:Author>
      <b:Author>
        <b:NameList>
          <b:Person>
            <b:Last>Coloma</b:Last>
            <b:Middle>M</b:Middle>
            <b:First>Preciosa</b:First>
          </b:Person>
          <b:Person>
            <b:Last>Schuemie</b:Last>
            <b:Middle>J</b:Middle>
            <b:First>Martijn</b:First>
          </b:Person>
          <b:Person>
            <b:Last>Trifiro</b:Last>
            <b:First>Gianluca</b:First>
          </b:Person>
          <b:Person>
            <b:Last>Gini</b:Last>
            <b:First>Rosa</b:First>
          </b:Person>
          <b:Person>
            <b:Last>Herings</b:Last>
            <b:First>Ron</b:First>
          </b:Person>
          <b:Person>
            <b:Last>Hippisley-Cox</b:Last>
            <b:First>Julia</b:First>
          </b:Person>
          <b:Person>
            <b:Last>Mazzaglia</b:Last>
            <b:First>Giampiero</b:First>
          </b:Person>
          <b:Person>
            <b:Last>Giaquinto</b:Last>
            <b:First>Carlo</b:First>
          </b:Person>
          <b:Person>
            <b:Last>Corrao</b:Last>
            <b:First>Giovanni</b:First>
          </b:Person>
          <b:Person>
            <b:Last>Pedersen</b:Last>
            <b:First>Lars</b:First>
          </b:Person>
          <b:Person>
            <b:Last>others</b:Last>
          </b:Person>
        </b:NameList>
      </b:Author>
    </b:Author>
    <b:Pages>1-11</b:Pages>
    <b:Volume>20</b:Volume>
    <b:Publisher>Wiley Online Library</b:Publisher>
    <b:JournalName>Pharmacoepidemiology and drug safety</b:JournalName>
    <b:Issue>1</b:Issue>
    <b:RefOrder>4</b:RefOrder>
  </b:Source>
  <b:Source>
    <b:SourceType>JournalArticle</b:SourceType>
    <b:Tag>trifiro2014combining</b:Tag>
    <b:Title>Combining multiple healthcare databases for postmarketing drug and vaccine safety surveillance: why and how?</b:Title>
    <b:Year>2014</b:Year>
    <b:Author>
      <b:Author>
        <b:NameList>
          <b:Person>
            <b:Last>Trifir{\`o}</b:Last>
            <b:First>Gianluca</b:First>
          </b:Person>
          <b:Person>
            <b:Last>Coloma</b:Last>
            <b:First>PM</b:First>
          </b:Person>
          <b:Person>
            <b:Last>Rijnbeek</b:Last>
            <b:First>PR</b:First>
          </b:Person>
          <b:Person>
            <b:Last>Romio</b:Last>
            <b:First>Silvana</b:First>
          </b:Person>
          <b:Person>
            <b:Last>Mosseveld</b:Last>
            <b:First>B</b:First>
          </b:Person>
          <b:Person>
            <b:Last>Weibel</b:Last>
            <b:First>Daniel</b:First>
          </b:Person>
          <b:Person>
            <b:Last>Bonhoeffer</b:Last>
            <b:First>Jan</b:First>
          </b:Person>
          <b:Person>
            <b:Last>Schuemie</b:Last>
            <b:First>Martijn</b:First>
          </b:Person>
          <b:Person>
            <b:Last>Lei</b:Last>
            <b:First>J</b:First>
          </b:Person>
          <b:Person>
            <b:Last>Sturkenboom</b:Last>
            <b:First>Miriam</b:First>
          </b:Person>
        </b:NameList>
      </b:Author>
    </b:Author>
    <b:Pages>551-561</b:Pages>
    <b:Volume>275</b:Volume>
    <b:Publisher>Wiley Online Library</b:Publisher>
    <b:JournalName>Journal of internal medicine</b:JournalName>
    <b:Issue>6</b:Issue>
    <b:RefOrder>9</b:RefOrder>
  </b:Source>
  <b:Source>
    <b:SourceType>JournalArticle</b:SourceType>
    <b:Tag>Gini2016Comparison</b:Tag>
    <b:Title>Data Extraction and Management In Networks Of Observational Health Care Databases For Scientific Research: A Comparison Among EU-ADR, OMOP, Mini-Sentinel And MATRICE Strategies</b:Title>
    <b:Year>2016</b:Year>
    <b:Author>
      <b:Author>
        <b:NameList>
          <b:Person>
            <b:Last>Gini</b:Last>
            <b:First>Rosa</b:First>
          </b:Person>
          <b:Person>
            <b:Last>Schuemie</b:Last>
            <b:First>Martijn</b:First>
          </b:Person>
          <b:Person>
            <b:Last>Brown</b:Last>
            <b:First>Jeffrey</b:First>
          </b:Person>
          <b:Person>
            <b:Last>Ryan</b:Last>
            <b:First>Patrick</b:First>
          </b:Person>
          <b:Person>
            <b:Last>Vacchi</b:Last>
            <b:First>Edoardo</b:First>
          </b:Person>
          <b:Person>
            <b:Last>Coppola</b:Last>
            <b:First>Massimo</b:First>
          </b:Person>
          <b:Person>
            <b:Last>Cazzola</b:Last>
            <b:First>Walter</b:First>
          </b:Person>
          <b:Person>
            <b:Last>Coloma</b:Last>
            <b:First>Preciosa</b:First>
          </b:Person>
          <b:Person>
            <b:Last>Berni</b:Last>
            <b:First>Roberto</b:First>
          </b:Person>
          <b:Person>
            <b:Last>Diallo</b:Last>
            <b:First>Gayo</b:First>
          </b:Person>
          <b:Person>
            <b:Last>Oliveira</b:Last>
            <b:Middle>Luis</b:Middle>
            <b:First>José</b:First>
          </b:Person>
          <b:Person>
            <b:Last>Avillach</b:Last>
            <b:First>Paul</b:First>
          </b:Person>
          <b:Person>
            <b:Last>Trifirò</b:Last>
            <b:First>Gianluca</b:First>
          </b:Person>
          <b:Person>
            <b:Last>Rijnbeek</b:Last>
            <b:First>Peter</b:First>
          </b:Person>
          <b:Person>
            <b:Last>Bellentani</b:Last>
            <b:First>Mariadonata</b:First>
          </b:Person>
          <b:Person>
            <b:Last>van Der Lei</b:Last>
            <b:First>Johan</b:First>
          </b:Person>
          <b:Person>
            <b:Last>Klazinga</b:Last>
            <b:First>Niek</b:First>
          </b:Person>
          <b:Person>
            <b:Last>Sturkenboom</b:Last>
            <b:First>Miriam</b:First>
          </b:Person>
        </b:NameList>
      </b:Author>
    </b:Author>
    <b:Volume>4</b:Volume>
    <b:StandardNumber> DOI: http://dx.doi.org/10.13063/2327-9214.1189</b:StandardNumber>
    <b:JournalName>eGEMs (Generating Evidence \&amp; Methods to improve patient outcomes)</b:JournalName>
    <b:Issue>1</b:Issue>
    <b:URL>http://repository.edm-forum.org/egems/vol4/iss1/2</b:URL>
    <b:RefOrder>7</b:RefOrder>
  </b:Source>
  <b:Source>
    <b:SourceType>JournalArticle</b:SourceType>
    <b:Tag>Overhage2012ValidationCDM</b:Tag>
    <b:Title>Validation of a common data model for active safety surveillance research.</b:Title>
    <b:Year>2012</b:Year>
    <b:Author>
      <b:Author>
        <b:NameList>
          <b:Person>
            <b:Last>Overhage</b:Last>
            <b:Middle>Marc</b:Middle>
            <b:First>J</b:First>
          </b:Person>
          <b:Person>
            <b:Last>Ryan</b:Last>
            <b:Middle>B.</b:Middle>
            <b:First>Patrick</b:First>
          </b:Person>
          <b:Person>
            <b:Last>Reich</b:Last>
            <b:Middle>G.</b:Middle>
            <b:First>Christian</b:First>
          </b:Person>
          <b:Person>
            <b:Last>Hartzema</b:Last>
            <b:Middle>G.</b:Middle>
            <b:First>Abraham</b:First>
          </b:Person>
          <b:Person>
            <b:Last>Stang</b:Last>
            <b:Middle>E.</b:Middle>
            <b:First>Paul</b:First>
          </b:Person>
        </b:NameList>
      </b:Author>
    </b:Author>
    <b:Pages>54-60</b:Pages>
    <b:Volume>19</b:Volume>
    <b:StandardNumber> DOI: 10.1136/amiajnl-2011-000376</b:StandardNumber>
    <b:JournalName>J Am Med Inform Assoc</b:JournalName>
    <b:Issue>1</b:Issue>
    <b:Institution>Regenstrief Institute, Indiana University, School of Medicine, Indianapolis, Indiana, USA. moverhage@regenstrief.org</b:Institution>
    <b:URL>http://dx.doi.org/10.1136/amiajnl-2011-000376</b:URL>
    <b:BIBTEX_Abstract>Systematic analysis of observational medical databases for active safety surveillance is hindered by the variation in data models and coding systems. Data analysts often find robust clinical data models difficult to understand and ill suited to support their analytic approaches. Further, some models do not facilitate the computations required for systematic analysis across many interventions and outcomes for large datasets. Translating the data from these idiosyncratic data models to a common data model (CDM) could facilitate both the analysts' understanding and the suitability for large-scale systematic analysis. In addition to facilitating analysis, a suitable CDM has to faithfully represent the source observational database. Before beginning to use the Observational Medical Outcomes Partnership (OMOP) CDM and a related dictionary of standardized terminologies for a study of large-scale systematic active safety surveillance, the authors validated the model's suitability for this use by example.To validate the OMOP CDM, the model was instantiated into a relational database, data from 10 different observational healthcare databases were loaded into separate instances, a comprehensive array of analytic methods that operate on the data model was created, and these methods were executed against the databases to measure performance.There was acceptable representation of the data from 10 observational databases in the OMOP CDM using the standardized terminologies selected, and a range of analytic methods was developed and executed with sufficient performance to be useful for active safety surveillance.</b:BIBTEX_Abstract>
    <b:BIBTEX_KeyWords>Adverse Drug Reaction Reporting Systems; Databases, Factual; Health Services Research; Humans; Models, Theoretical; Observation; Pharmacovigilance; Terminology as Topic</b:BIBTEX_KeyWords>
    <b:RefOrder>8</b:RefOrder>
  </b:Source>
  <b:Source>
    <b:SourceType>JournalArticle</b:SourceType>
    <b:Tag>Reich2012StandardTerm</b:Tag>
    <b:Title>Evaluation of alternative standardized terminologies for medical conditions within a network of observational healthcare databases.</b:Title>
    <b:Year>2012</b:Year>
    <b:Author>
      <b:Author>
        <b:NameList>
          <b:Person>
            <b:Last>Reich</b:Last>
            <b:First>Christian</b:First>
          </b:Person>
          <b:Person>
            <b:Last>Ryan</b:Last>
            <b:Middle>B.</b:Middle>
            <b:First>Patrick</b:First>
          </b:Person>
          <b:Person>
            <b:Last>Stang</b:Last>
            <b:Middle>E.</b:Middle>
            <b:First>Paul</b:First>
          </b:Person>
          <b:Person>
            <b:Last>Rocca</b:Last>
            <b:First>Mitra</b:First>
          </b:Person>
        </b:NameList>
      </b:Author>
    </b:Author>
    <b:Pages>689-696</b:Pages>
    <b:Volume>45</b:Volume>
    <b:StandardNumber> DOI: 10.1016/j.jbi.2012.05.002</b:StandardNumber>
    <b:JournalName>J Biomed Inform</b:JournalName>
    <b:Issue>4</b:Issue>
    <b:Institution>Observational Medical Outcomes Partnership, Foundation for the National Institutes of Health, 9650 Rockville Pike, Bethesda, MD 20814, USA. reich@omop.org</b:Institution>
    <b:Month>Aug</b:Month>
    <b:URL>http://dx.doi.org/10.1016/j.jbi.2012.05.002</b:URL>
    <b:BIBTEX_Abstract>Large electronic databases of health care information, such as administrative claims and electronic health records, are available and are being used in a number of public health settings, including drug safety surveillance. However, because of a lack of standardization, clinical terminologies may differ across databases. With the aid of existing resources and expert coders, we have developed mapping tables to convert ICD-9-CM diagnosis codes used in some existing databases to SNOMED-CT and MedDRA. In addition, previously developed definitions for specific health outcomes of interest were mapped to the same standardized vocabularies. We evaluated how vocabulary mapping affected (1) the retention of clinical data from two test databases, (2) the semantic space of outcome definitions, (3) the prevalence of each outcome in the test databases, and (4) the reliability of analytic methods designed to detect drug-outcome associations in the test databases. Although vocabulary mapping affected the semantic space of some outcome definitions, as well as the prevalence of some outcomes in the test databases, it had only minor effects on the analysis of drug-outcome associations. Furthermore, both SNOMED-CT and MedDRA were viable for use as standardized vocabularies in systems designed to perform active medical product surveillance using disparate sources of observational data.</b:BIBTEX_Abstract>
    <b:BIBTEX_KeyWords>Clinical Coding, standards; Databases, Factual; Electronic Health Records, standards; Humans; Semantics; Terminology as Topic; Vocabulary, Controlled</b:BIBTEX_KeyWords>
    <b:RefOrder>10</b:RefOrder>
  </b:Source>
  <b:Source>
    <b:SourceType>JournalArticle</b:SourceType>
    <b:Tag>overby2013collaborative</b:Tag>
    <b:Title>A collaborative approach to developing an electronic health record phenotyping algorithm for drug-induced liver injury</b:Title>
    <b:Year>2013</b:Year>
    <b:Author>
      <b:Author>
        <b:NameList>
          <b:Person>
            <b:Last>Overby</b:Last>
            <b:Middle>Lynnette</b:Middle>
            <b:First>Casey</b:First>
          </b:Person>
          <b:Person>
            <b:Last>Pathak</b:Last>
            <b:First>Jyotishman</b:First>
          </b:Person>
          <b:Person>
            <b:Last>Gottesman</b:Last>
            <b:First>Omri</b:First>
          </b:Person>
          <b:Person>
            <b:Last>Haerian</b:Last>
            <b:First>Krystl</b:First>
          </b:Person>
          <b:Person>
            <b:Last>Perotte</b:Last>
            <b:First>Adler</b:First>
          </b:Person>
          <b:Person>
            <b:Last>Murphy</b:Last>
            <b:First>Sean</b:First>
          </b:Person>
          <b:Person>
            <b:Last>Bruce</b:Last>
            <b:First>Kevin</b:First>
          </b:Person>
          <b:Person>
            <b:Last>Johnson</b:Last>
            <b:First>Stephanie</b:First>
          </b:Person>
          <b:Person>
            <b:Last>Talwalkar</b:Last>
            <b:First>Jayant</b:First>
          </b:Person>
          <b:Person>
            <b:Last>Shen</b:Last>
            <b:First>Yufeng</b:First>
          </b:Person>
          <b:Person>
            <b:Last>others</b:Last>
          </b:Person>
        </b:NameList>
      </b:Author>
    </b:Author>
    <b:Pages>e243--e252</b:Pages>
    <b:Volume>20</b:Volume>
    <b:Publisher>The Oxford University Press</b:Publisher>
    <b:JournalName>Journal of the American Medical Informatics Association</b:JournalName>
    <b:Issue>e2</b:Issue>
    <b:URL>https://jamia.oxfordjournals.org/content/20/e2/e243</b:URL>
    <b:RefOrder>2</b:RefOrder>
  </b:Source>
  <b:Source>
    <b:SourceType>ConferenceProceedings</b:SourceType>
    <b:BIBTEX_Entry>conference</b:BIBTEX_Entry>
    <b:Tag>Roberto2015heterogeneous</b:Tag>
    <b:Title>Identifying cases of type 2 diabetes from heterogeneous data sources: strategy from the EMIF Project</b:Title>
    <b:Year>2015</b:Year>
    <b:Author>
      <b:Author>
        <b:NameList>
          <b:Person>
            <b:Last>Roberto</b:Last>
            <b:First>G.</b:First>
          </b:Person>
          <b:Person>
            <b:Last>Leal</b:Last>
            <b:First>I.</b:First>
          </b:Person>
          <b:Person>
            <b:Last>Sattar</b:Last>
            <b:First>N.</b:First>
          </b:Person>
          <b:Person>
            <b:Last>Loomis</b:Last>
            <b:First>K.</b:First>
          </b:Person>
          <b:Person>
            <b:Last>Avillach</b:Last>
            <b:First>P.</b:First>
          </b:Person>
          <b:Person>
            <b:Last>Egger</b:Last>
            <b:First>P.</b:First>
          </b:Person>
          <b:Person>
            <b:Last>van Wijngaarden</b:Last>
            <b:First>R.</b:First>
          </b:Person>
          <b:Person>
            <b:Last>Ansell</b:Last>
            <b:First>D.</b:First>
          </b:Person>
          <b:Person>
            <b:Last>Reisberg</b:Last>
            <b:First>S.</b:First>
          </b:Person>
          <b:Person>
            <b:Last>Tammesoo</b:Last>
            <b:First>M.</b:First>
          </b:Person>
          <b:Person>
            <b:Last>Alavere</b:Last>
            <b:First>H.</b:First>
          </b:Person>
          <b:Person>
            <b:Last>Pasqua</b:Last>
            <b:First>A.</b:First>
          </b:Person>
          <b:Person>
            <b:Last>Pedersen</b:Last>
            <b:First>L.</b:First>
          </b:Person>
          <b:Person>
            <b:Last>Cunningham</b:Last>
            <b:First>J.</b:First>
          </b:Person>
          <b:Person>
            <b:Last>Tramontan</b:Last>
            <b:First>L.</b:First>
          </b:Person>
          <b:Person>
            <b:Last>Mayer</b:Last>
            <b:First>M.A.</b:First>
          </b:Person>
          <b:Person>
            <b:Last>Herings</b:Last>
            <b:First>R.</b:First>
          </b:Person>
          <b:Person>
            <b:Last>Coloma</b:Last>
            <b:First>P.</b:First>
          </b:Person>
          <b:Person>
            <b:Last>Lapi</b:Last>
            <b:First>F.</b:First>
          </b:Person>
          <b:Person>
            <b:Last>SSturkenboom</b:Last>
            <b:First>M.C.J.M.</b:First>
          </b:Person>
          <b:Person>
            <b:Last>van Der Lei</b:Last>
            <b:First>J.</b:First>
          </b:Person>
          <b:Person>
            <b:Last>Schuemie</b:Last>
            <b:First>M.</b:First>
          </b:Person>
          <b:Person>
            <b:Last>Rijnbeek</b:Last>
            <b:First>P.</b:First>
          </b:Person>
          <b:Person>
            <b:Last>Gini</b:Last>
            <b:First>R.</b:First>
          </b:Person>
        </b:NameList>
      </b:Author>
    </b:Author>
    <b:BookTitle>Abstracts of the 31st International Conference on Pharmacoepidemiology and Therapeutic Risk Management</b:BookTitle>
    <b:ConferenceName>Abstracts of the 31st International Conference on Pharmacoepidemiology and Therapeutic Risk Management</b:ConferenceName>
    <b:URL>http://onlinelibrary.wiley.com/doi/10.1002/pds.3838/abstract</b:URL>
    <b:BIBTEX_Abstract>Background: The European Medical Information Framework (EMIF) project is developing an infrastructure to combine existing healthcare data to perform observational (pharmaco)epidemiological studies involving a wide variety of data sources.
Objectives: To assess the impact of different strategies on the identification of subjects with type 2 diabetes (T2DM).
Methods: Eight data sources from Spain, Italy, the Netherlands, Denmark, the UK and Estonia were considered: three primary care (PCD), thr ee administrative (AD), one hospital (HD) and one biobank (BD). Using the Unified Medical Language System, medical concepts of pertinent diagnoses, treatments, such as insulin or non-insulin antiglycemic drugs (NIAD) or laboratory tests (glycated hemoglobin ≥6.5%) were selected and projected to local terminologies. In each data source, a list of component algorithms to be used as inclusion or exclusion criteria was extracted and their individual contribution to the identification of subjects with T2DM in 2012 in patients older than 16 was assessed.
Results: Subjects with a record of T2DM diagnosis were 4.6%, 6.3% and 6.6% in PCD, 0.9%, 1.5% and 3.2% in AD, and 3.9% in BD and 16.0% in HD. In two of three AD, drug utilization was the main source of case identification, as such data sources contained diagnoses only from the hospital inpatient environment. In fact, in these two AD, adding subjects with at least two records of NIAD increased the total number of cases about 3.5-fold, while adding both NIAD and insulin, after excluding patients with diagnoses of other indications (type 1 diabetes and gestational diabetes), increased the number 3.6- to 4-fold. In two out of three PCD, adding subjects with at least two records of glycated hemoglobin ≥6.5% increased the number of cases identified of 5% and 40%, respectively.
Conclusions: Case identification strategies have an important impact on the size and type of patient population identified and should be clearly documented to provide the necessary context for interpretation. In multi-data source studies, harmonization of event identification is a substantial process, due to differences and availability of data in each source.</b:BIBTEX_Abstract>
    <b:RefOrder>6</b:RefOrder>
  </b:Source>
</b:Sources>
</file>

<file path=customXml/itemProps1.xml><?xml version="1.0" encoding="utf-8"?>
<ds:datastoreItem xmlns:ds="http://schemas.openxmlformats.org/officeDocument/2006/customXml" ds:itemID="{A6D1DF11-798E-4CCE-84B6-4611A4189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10916</Words>
  <Characters>62222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Original file was comap-note.tex</vt:lpstr>
    </vt:vector>
  </TitlesOfParts>
  <Company/>
  <LinksUpToDate>false</LinksUpToDate>
  <CharactersWithSpaces>72993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comap-note.tex</dc:title>
  <dc:creator>Benedikt Becker</dc:creator>
  <cp:lastModifiedBy>Benedikt Becker</cp:lastModifiedBy>
  <cp:revision>4</cp:revision>
  <cp:lastPrinted>2017-06-01T10:35:00Z</cp:lastPrinted>
  <dcterms:created xsi:type="dcterms:W3CDTF">2017-06-01T10:35:00Z</dcterms:created>
  <dcterms:modified xsi:type="dcterms:W3CDTF">2017-06-01T10:36:00Z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y fmtid="{D5CDD505-2E9C-101B-9397-08002B2CF9AE}" pid="8" name="ZOTERO_PREF_1">
    <vt:lpwstr>&lt;data data-version="3" zotero-version="4.0.29.16"&gt;&lt;session id="w9hOgvmp"/&gt;&lt;style id="http://www.zotero.org/styles/pharmacoepidemiology-and-drug-safety" hasBibliography="1" bibliographyStyleHasBeenSet="1"/&gt;&lt;prefs&gt;&lt;pref name="fieldType" value="Field"/&gt;&lt;pref</vt:lpwstr>
  </property>
  <property fmtid="{D5CDD505-2E9C-101B-9397-08002B2CF9AE}" pid="9" name="ZOTERO_PREF_2">
    <vt:lpwstr> name="storeReferences" value="true"/&gt;&lt;pref name="automaticJournalAbbreviations" value="true"/&gt;&lt;pref name="noteType" value=""/&gt;&lt;/prefs&gt;&lt;/data&gt;</vt:lpwstr>
  </property>
</Properties>
</file>