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Exclusion criteria</w:t>
            </w:r>
          </w:p>
        </w:tc>
        <w:tc>
          <w:p>
            <w:pPr>
              <w:pStyle w:stlname="Normal" w:val="Normal"/>
            </w:pPr>
            <w:r>
              <w:t>Datasource TEST</w:t>
            </w:r>
          </w:p>
        </w:tc>
      </w:tr>
      <w:tr>
        <w:tc>
          <w:p>
            <w:pPr>
              <w:pStyle w:stlname="Normal" w:val="Normal"/>
            </w:pPr>
            <w:r>
              <w:t>Total persons in the data instance</w:t>
            </w:r>
          </w:p>
        </w:tc>
        <w:tc>
          <w:p>
            <w:pPr>
              <w:pStyle w:stlname="Normal" w:val="Normal"/>
            </w:pPr>
            <w:r>
              <w:t>8,861</w:t>
            </w:r>
          </w:p>
        </w:tc>
      </w:tr>
      <w:tr>
        <w:tc>
          <w:p>
            <w:pPr>
              <w:pStyle w:stlname="Normal" w:val="Normal"/>
            </w:pPr>
            <w:r>
              <w:t>Sex or birth year missing or absurd or no dates of entry or exit, or incomplete date of death or birth, or observation period too short</w:t>
            </w:r>
          </w:p>
        </w:tc>
        <w:tc>
          <w:p>
            <w:pPr>
              <w:pStyle w:stlname="Normal" w:val="Normal"/>
            </w:pPr>
            <w:r>
              <w:t>236 (2.7%)</w:t>
            </w:r>
          </w:p>
        </w:tc>
      </w:tr>
      <w:tr>
        <w:tc>
          <w:p>
            <w:pPr>
              <w:pStyle w:stlname="Normal" w:val="Normal"/>
            </w:pPr>
            <w:r>
              <w:t>Exit from data source before 1 Jan 2017</w:t>
            </w:r>
          </w:p>
        </w:tc>
        <w:tc>
          <w:p>
            <w:pPr>
              <w:pStyle w:stlname="Normal" w:val="Normal"/>
            </w:pPr>
            <w:r>
              <w:t>181</w:t>
            </w:r>
          </w:p>
        </w:tc>
      </w:tr>
      <w:tr>
        <w:tc>
          <w:p>
            <w:pPr>
              <w:pStyle w:stlname="Normal" w:val="Normal"/>
            </w:pPr>
            <w:r>
              <w:t>No disease codes identified after study entry</w:t>
            </w:r>
          </w:p>
        </w:tc>
        <w:tc>
          <w:p>
            <w:pPr>
              <w:pStyle w:stlname="Normal" w:val="Normal"/>
            </w:pPr>
            <w:r>
              <w:t>8,435 (95.2%)</w:t>
            </w:r>
          </w:p>
        </w:tc>
      </w:tr>
      <w:tr>
        <w:tc>
          <w:p>
            <w:pPr>
              <w:pStyle w:stlname="Normal" w:val="Normal"/>
            </w:pPr>
            <w:r>
              <w:t>Disease codes found during lookback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Other criteria suggesting the disease is present during lookback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Total cohort of  Graves' disease</w:t>
            </w:r>
          </w:p>
        </w:tc>
        <w:tc>
          <w:p>
            <w:pPr>
              <w:pStyle w:stlname="Normal" w:val="Normal"/>
            </w:pPr>
            <w:r>
              <w:t>9 (0.1%)</w:t>
            </w:r>
          </w:p>
        </w:tc>
      </w:tr>
      <w:tr>
        <w:tc>
          <w:p>
            <w:pPr>
              <w:pStyle w:stlname="Normal" w:val="Normal"/>
            </w:pPr>
            <w:r>
              <w:t>Persons dying before entrance in the follow-up</w:t>
            </w:r>
          </w:p>
        </w:tc>
        <w:tc>
          <w:p>
            <w:pPr>
              <w:pStyle w:stlname="Normal" w:val="Normal"/>
            </w:pPr>
            <w:r>
              <w:t>2 (0%)</w:t>
            </w:r>
          </w:p>
        </w:tc>
      </w:tr>
      <w:tr>
        <w:tc>
          <w:p>
            <w:pPr>
              <w:pStyle w:stlname="Normal" w:val="Normal"/>
            </w:pPr>
            <w:r>
              <w:t>Persons leaving alive the cohort before entering the follow-up (censoring)</w:t>
            </w:r>
          </w:p>
        </w:tc>
        <w:tc>
          <w:p>
            <w:pPr>
              <w:pStyle w:stlname="Normal" w:val="Normal"/>
            </w:pPr>
            <w:r>
              <w:t>0 (0%)</w:t>
            </w:r>
          </w:p>
        </w:tc>
      </w:tr>
      <w:tr>
        <w:tc>
          <w:p>
            <w:pPr>
              <w:pStyle w:stlname="Normal" w:val="Normal"/>
            </w:pPr>
            <w:r>
              <w:t>Persons entering follow-up</w:t>
            </w:r>
          </w:p>
        </w:tc>
        <w:tc>
          <w:p>
            <w:pPr>
              <w:pStyle w:stlname="Normal" w:val="Normal"/>
            </w:pPr>
            <w:r>
              <w:t>7 (0.1%)</w:t>
            </w:r>
          </w:p>
        </w:tc>
      </w:tr>
    </w:tbl>
    <w:p>
      <w:pPr>
        <w:sectPr w:officer="true">
          <w:type w:val="continuous"/>
          <w:cols/>
          <w:pgSz w:w="11900" w:h="16840"/>
          <w:pgMar w:top="1417" w:right="1417" w:bottom="1417" w:left="1417" w:header="708" w:footer="708" w:gutter="0"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2024-10-03T11:54:38Z</dcterms:modified>
  <cp:category/>
</cp:coreProperties>
</file>