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ction-10.1.-graves-disease"/>
    <w:p>
      <w:pPr>
        <w:pStyle w:val="Heading1"/>
      </w:pPr>
      <w:r>
        <w:t xml:space="preserve">Section 10.1. Graves’ disease</w:t>
      </w:r>
    </w:p>
    <w:bookmarkEnd w:id="20"/>
    <w:bookmarkStart w:id="26" w:name="X26415250e6e88b335c23c32ee1c1b705b948702"/>
    <w:p>
      <w:pPr>
        <w:pStyle w:val="Heading1"/>
      </w:pPr>
      <w:r>
        <w:t xml:space="preserve">Section 10.1.1. Principal analysis Graves’ disease</w:t>
      </w:r>
    </w:p>
    <w:bookmarkStart w:id="21" w:name="Xfe92e96a9fe9ee36ed8502133432551804cdea3"/>
    <w:p>
      <w:pPr>
        <w:pStyle w:val="Heading3"/>
      </w:pPr>
      <w:r>
        <w:t xml:space="preserve">Table 10.1.1.1. Attrition table for the cohort with Graves’ disease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Exclusion criteria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Datasource TEST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persons in the data instance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8,861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or birth year missing or absurd or no dates of entry or exit, or incomplete date of death or birth, or observation period too short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 (2.7%)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Exit from data source before 1 Jan 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disease codes identified after study entry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8,435 (95.2%)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Disease codes found during lookback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criteria suggesting the disease is present during lookback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cohort of Graves'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Persons dying before entrance in the follow-up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Persons leaving alive the cohort before entering the follow-up (censoring)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Persons entering follow-up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 (0.1%)</w:t>
            </w:r>
          </w:p>
        </w:tc>
      </w:tr>
    </w:tbl>
    <w:bookmarkEnd w:id="21"/>
    <w:bookmarkStart w:id="22" w:name="X0eb4059b1ce0b50232a773784e8d82972fe2984"/>
    <w:p>
      <w:pPr>
        <w:pStyle w:val="Heading3"/>
      </w:pPr>
      <w:r>
        <w:t xml:space="preserve">Table 10.1.1.2. Characteristics of the study cohort with Graves’ disease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Cohort characteristics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Datasource TEST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cohort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 (77.8%)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in year (IQR): PCT 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in year (IQR): PCT 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in year (IQR): PCT 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in categories (n/%): &lt; 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in categories (n/%): 18-59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 (88.9%)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in categories (n/%): &gt;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persons who started the follow-up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 (77.8%)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follow-up time regardless of interruptions from start of follow-up (PY)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vaccinations during follow-up (median, 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(0-2.5)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people with vaccinations (n/%): 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people with vaccinations (n/%):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people with vaccinations (n/%):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people with vaccinations (n/%): 3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5</w:t>
            </w:r>
          </w:p>
        </w:tc>
      </w:tr>
    </w:tbl>
    <w:bookmarkEnd w:id="22"/>
    <w:bookmarkStart w:id="23" w:name="X97d0d4d1236c90712a7685f36293446c3158d6e"/>
    <w:p>
      <w:pPr>
        <w:pStyle w:val="Heading3"/>
      </w:pPr>
      <w:r>
        <w:t xml:space="preserve">Table 10.1.1.3. Comorbidities in the study cohort with Graves’ disease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Covariates at baseline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Datasource TEST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cohort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Immunocompromise status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Malignancy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Hepatitis C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Immunostimulants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PD-1/PD-L1 (Programmed cell death protein 1/death ligand 1) inhibitors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Analgesics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Systemic corticosteroids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Antithrombotic agents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hormones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Immunosuppressants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medications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Antibiotics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Antiviral drugs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Antimycotics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Non-steroidal anti-inflammatory drugs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Drug to treat mental health diseases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Lipid lowering drugs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Cardiovascular medication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Oncologic drugs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Anti-epileptics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Diuretics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Tumor necrosis factor (TNF) inhibitor (n/%)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</w:tbl>
    <w:bookmarkEnd w:id="23"/>
    <w:bookmarkStart w:id="24" w:name="X7ad7527d27f96e89e6273f554caa602f1e0fdcd"/>
    <w:p>
      <w:pPr>
        <w:pStyle w:val="Heading3"/>
      </w:pPr>
      <w:r>
        <w:t xml:space="preserve">Table 10.1.1.4. Background incidence rate of first, second, and third flare in the cohort of Graves’ disease, per 1,000 person-years, with 95% confidence intervals.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Cohort characteristics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Datasource TEST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cohort 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persons who started the follow-up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flares before entering follow-up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persons who develop a first flare-up episode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IR of first flare-up episode, per 100,000 (CI 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14554.7 (1762.6-52576.6)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persons still in the study 90 days after first flare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persons who develop a second flare-up episode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IR of second flare-up episode, per 100,000 PY (CI 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59487 (1506.1-331440.2)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persons still in the study 90 days after second flare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persons who develop a third flare-up episode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IR of third flare-up episode, per 100,000 PY (CI 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195320.9 (4945.1-1088258.2)</w:t>
            </w:r>
          </w:p>
        </w:tc>
      </w:tr>
    </w:tbl>
    <w:bookmarkEnd w:id="24"/>
    <w:bookmarkStart w:id="25" w:name="X6059e24e24a28fea531e1088d7edf426fe0c81a"/>
    <w:p>
      <w:pPr>
        <w:pStyle w:val="Heading3"/>
      </w:pPr>
      <w:r>
        <w:t xml:space="preserve">Table 10.1.1.5. Six- and twelve-months cumulative incidence of flares of Graves’ disease, per 1,000 persons, with 95% confidence intervals.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Days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Datasource TEST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(0-0)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0.167 (0-0.417)</w:t>
            </w:r>
          </w:p>
        </w:tc>
      </w:tr>
    </w:tbl>
    <w:bookmarkEnd w:id="25"/>
    <w:bookmarkEnd w:id="26"/>
    <w:bookmarkStart w:id="35" w:name="Xf1114dca20ec60dbcef768bc56d32159d9b186e"/>
    <w:p>
      <w:pPr>
        <w:pStyle w:val="Heading1"/>
      </w:pPr>
      <w:r>
        <w:t xml:space="preserve">Section 10.1.2. Other analysis Graves’ disease</w:t>
      </w:r>
    </w:p>
    <w:bookmarkStart w:id="27" w:name="X9e91f1aea9b39ad96d6682cce08beca613434ae"/>
    <w:p>
      <w:pPr>
        <w:pStyle w:val="Heading3"/>
      </w:pPr>
      <w:r>
        <w:t xml:space="preserve">Table 10.1.2.1. Impact of the ablation of prompts on the attrition in the cohort with Graves’ disease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Steps in ablation analysis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Datasource TEST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Subjects with at least one disease diagnosis during study period, Main,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Subjects with at least one disease diagnosis during study period, Ablation analysis keeping PC,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Subjects with at least one disease diagnosis during study period, Ablation analysis keeping Inpatient and medicines,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Subjects with at least one disease diagnosis during study period, Ablation analysis keeping Inpatient, specialist and medicines,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 least one disease diagnosis during look-back, Main,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 least one disease diagnosis during look-back, Ablation analysis keeping PC,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 least one disease diagnosis during look-back, Ablation analysis keeping Inpatient and medicines,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 least one disease diagnosis during look-back, Ablation analysis keeping Inpatient, specialist and medicines,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Additional exclusion criterion, Main,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Additional exclusion criterion, Ablation analysis keeping PC,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Additional exclusion criterion, Ablation analysis keeping Inpatient and medicines,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Additional exclusion criterion, Ablation analysis keeping Inpatient, specialist and medicines,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Subjects included in the study cohort, Main,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Subjects included in the study cohort, Ablation analysis keeping PC,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Subjects included in the study cohort, only in main and not in PC,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Subjects in both main and PC,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Subjects included in the study cohort, Ablation analysis keeping Inpatient and medicines,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Subjects included in the study cohort, only in main and not in Inpatient and medicines,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Subjects in both main and Inpatient and medicines,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Subjects included in the study cohort, Ablation analysis keeping Inpatient, specialist and medicines,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Subjects included in the study cohort, only in main and not in Inpatient, specialist and medicines,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Subjects in both main and Inpatient, specialist and medicines,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Days from start of study period (1/1/2017) and first disease diagnosis (cohort entry) in the main analysis, median (IQ range)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827 (153-1382)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Days from start of study period (1/1/2017) and first disease diagnosis (cohort entry), in the ablation analysis keeping PC median (IQ range)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827 (153-1382)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Days from start of study period (1/1/2017) and first disease diagnosis (cohort entry), in the ablation analysis keeping Inpatient and medicines median (IQ range)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827 (153-1382)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Days from start of study period (1/1/2017) and first disease diagnosis (cohort entry), in the ablation analysis keeping Inpatient, specialist and medicines median (IQ range)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 (NA-NA)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 between cohort entry date in the main cohort and in the ablation analysis keeping PC, median (IQ range)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(0-0)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 between cohort entry date in the main cohort and in the ablation analysis keeping Inpatient and medicines, median (IQ range)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(0-0)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 between cohort entry date in the main cohort and in the ablation analysis keeping Inpatient, specialist and medicines, median (IQ range)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 (NA-NA)</w:t>
            </w:r>
          </w:p>
        </w:tc>
      </w:tr>
    </w:tbl>
    <w:bookmarkEnd w:id="27"/>
    <w:bookmarkStart w:id="31" w:name="figure-10.1.2.1."/>
    <w:p>
      <w:pPr>
        <w:pStyle w:val="Heading3"/>
      </w:pPr>
      <w:r>
        <w:t xml:space="preserve">Figure 10.1.2.1.</w:t>
      </w:r>
    </w:p>
    <w:p>
      <w:pPr>
        <w:pStyle w:val="FirstParagraph"/>
      </w:pPr>
      <w:r>
        <w:drawing>
          <wp:inline>
            <wp:extent cx="4267200" cy="5522258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../i_input_synthetic/test_07_T5_10_SummaryDocument/Figure_Impact_of_component_flare_E_GRAVES_AESI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522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2" w:name="Xc66fe8fc6b1f25f0decb9a25a032eb9b132cbbb"/>
    <w:p>
      <w:pPr>
        <w:pStyle w:val="Heading3"/>
      </w:pPr>
      <w:r>
        <w:t xml:space="preserve">Table 10.1.2.2. Background incidence rate stratified per age categories, of first, second, and third flare in the cohort of Graves’ disease, per 1,000 person-years, with 95% confidence intervals.</w:t>
      </w:r>
    </w:p>
    <w:bookmarkEnd w:id="32"/>
    <w:bookmarkStart w:id="33" w:name="Xc9b77d1f8eea42fa66916ac931bb5429086e7f1"/>
    <w:p>
      <w:pPr>
        <w:pStyle w:val="Heading3"/>
      </w:pPr>
      <w:r>
        <w:t xml:space="preserve">Table 10.1.2.3. Background incidence rate stratified per gender, of first, second, and third flare in the cohort of Graves’ disease, per 1,000 person-years, with 95% confidence intervals.</w:t>
      </w:r>
    </w:p>
    <w:bookmarkEnd w:id="33"/>
    <w:bookmarkStart w:id="34" w:name="X1415a490154aec058d4928c562e811a1fcc5cd6"/>
    <w:p>
      <w:pPr>
        <w:pStyle w:val="Heading3"/>
      </w:pPr>
      <w:r>
        <w:t xml:space="preserve">Table 10.1.1.4. Background incidence rate in the pregnant population of first, second, and third flare in the cohort of Graves’ disease, per 1,000 person-years, with 95% confidence intervals.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Cohort characteristics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Datasource TEST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persons who have at least one pregnancy after start of follow-up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persons who develop a first flare-up episode while they are pregnant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IR of first flare-up episode while pregnant, per 100,000 PY (CI 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14554.7 (1762.6-52576.6)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persons who have at least one pregnancy after the first flare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persons who develop a second flare-up episode while they are pregnant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IR of first flare-up episode while pregnant, per 100,000 PY (CI 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59487 (1506.1-331440.2)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persons who have at least one pregnancy 90 days after second flare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persons who develop a third flare-up episode while they are pregnant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IR of third flare-up episode while pregnant, per 100,000 PY (CI 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195320.9 (4945.1-1088258.2)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2024-10-10T13:02:15Z</dcterms:created>
  <dcterms:modified xsi:type="dcterms:W3CDTF">2024-10-10T13:02:15Z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