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575"/>
        <w:tblW w:w="16693" w:type="dxa"/>
        <w:tblLayout w:type="fixed"/>
        <w:tblLook w:val="04A0" w:firstRow="1" w:lastRow="0" w:firstColumn="1" w:lastColumn="0" w:noHBand="0" w:noVBand="1"/>
      </w:tblPr>
      <w:tblGrid>
        <w:gridCol w:w="2235"/>
        <w:gridCol w:w="3719"/>
        <w:gridCol w:w="5103"/>
        <w:gridCol w:w="5636"/>
      </w:tblGrid>
      <w:tr w:rsidR="00231362" w:rsidRPr="001E2919" w:rsidTr="00E42E1F">
        <w:trPr>
          <w:trHeight w:val="558"/>
        </w:trPr>
        <w:tc>
          <w:tcPr>
            <w:tcW w:w="2235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719" w:type="dxa"/>
            <w:shd w:val="clear" w:color="auto" w:fill="00B0F0"/>
          </w:tcPr>
          <w:p w:rsidR="00231362" w:rsidRPr="001E2919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b/>
                <w:color w:val="000000"/>
                <w:sz w:val="20"/>
                <w:szCs w:val="20"/>
              </w:rPr>
              <w:t>Empresario Individual</w:t>
            </w:r>
          </w:p>
        </w:tc>
        <w:tc>
          <w:tcPr>
            <w:tcW w:w="5103" w:type="dxa"/>
            <w:shd w:val="clear" w:color="auto" w:fill="FFC000"/>
          </w:tcPr>
          <w:p w:rsidR="00231362" w:rsidRPr="001E2919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Sociedades no </w:t>
            </w:r>
            <w:proofErr w:type="gramStart"/>
            <w:r w:rsidRPr="001E2919">
              <w:rPr>
                <w:rFonts w:ascii="Arial" w:hAnsi="Arial" w:cs="Arial"/>
                <w:b/>
                <w:color w:val="000000"/>
                <w:sz w:val="20"/>
                <w:szCs w:val="20"/>
              </w:rPr>
              <w:t>mercantiles :</w:t>
            </w:r>
            <w:proofErr w:type="gramEnd"/>
            <w:r w:rsidRPr="001E291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comunidades de bienes</w:t>
            </w:r>
          </w:p>
        </w:tc>
        <w:tc>
          <w:tcPr>
            <w:tcW w:w="5636" w:type="dxa"/>
            <w:shd w:val="clear" w:color="auto" w:fill="F79646" w:themeFill="accent6"/>
          </w:tcPr>
          <w:p w:rsidR="00231362" w:rsidRPr="001E2919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Sociedad limitada</w:t>
            </w:r>
          </w:p>
        </w:tc>
      </w:tr>
      <w:tr w:rsidR="00231362" w:rsidTr="00E42E1F">
        <w:trPr>
          <w:trHeight w:val="414"/>
        </w:trPr>
        <w:tc>
          <w:tcPr>
            <w:tcW w:w="2235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 xml:space="preserve"> socios</w:t>
            </w:r>
          </w:p>
        </w:tc>
        <w:tc>
          <w:tcPr>
            <w:tcW w:w="3719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  <w:r w:rsidR="00503EC3" w:rsidRPr="00956B62">
              <w:rPr>
                <w:rFonts w:ascii="Arial" w:hAnsi="Arial" w:cs="Arial"/>
                <w:color w:val="000000"/>
                <w:sz w:val="20"/>
                <w:szCs w:val="20"/>
              </w:rPr>
              <w:t>mínimo</w:t>
            </w: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1 </w:t>
            </w:r>
            <w:r w:rsidR="00503EC3" w:rsidRPr="00956B62">
              <w:rPr>
                <w:rFonts w:ascii="Arial" w:hAnsi="Arial" w:cs="Arial"/>
                <w:color w:val="000000"/>
                <w:sz w:val="20"/>
                <w:szCs w:val="20"/>
              </w:rPr>
              <w:t>máximo</w:t>
            </w:r>
          </w:p>
        </w:tc>
        <w:tc>
          <w:tcPr>
            <w:tcW w:w="5103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>Es necesario un mínimo de dos comuneros.</w:t>
            </w:r>
          </w:p>
        </w:tc>
        <w:tc>
          <w:tcPr>
            <w:tcW w:w="5636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1362">
              <w:rPr>
                <w:rFonts w:ascii="Arial" w:hAnsi="Arial" w:cs="Arial"/>
                <w:color w:val="000000"/>
                <w:sz w:val="20"/>
                <w:szCs w:val="20"/>
              </w:rPr>
              <w:t>No existe un número mínimo de socios una sola persona puede constituirla, haciendo constar documentación (sociedad unipersonal).</w:t>
            </w:r>
          </w:p>
        </w:tc>
      </w:tr>
      <w:tr w:rsidR="00231362" w:rsidRPr="00503EC3" w:rsidTr="00E42E1F">
        <w:trPr>
          <w:trHeight w:val="850"/>
        </w:trPr>
        <w:tc>
          <w:tcPr>
            <w:tcW w:w="2235" w:type="dxa"/>
          </w:tcPr>
          <w:p w:rsidR="00231362" w:rsidRPr="00503EC3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Responsabilidad </w:t>
            </w:r>
            <w:r w:rsidR="00503EC3" w:rsidRPr="00503EC3">
              <w:rPr>
                <w:rFonts w:ascii="Arial" w:hAnsi="Arial" w:cs="Arial"/>
                <w:color w:val="000000"/>
                <w:sz w:val="20"/>
                <w:szCs w:val="20"/>
              </w:rPr>
              <w:t>económica</w:t>
            </w:r>
          </w:p>
        </w:tc>
        <w:tc>
          <w:tcPr>
            <w:tcW w:w="3719" w:type="dxa"/>
          </w:tcPr>
          <w:p w:rsidR="00231362" w:rsidRPr="00503EC3" w:rsidRDefault="00231362" w:rsidP="00503E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ILIMITADA. No existe distinción entre el patrimonio de la empresa y el del empresario. Si el importe de la deuda es superior al patrimonio de la empresa, el empresario responde con todo su patrimonio </w:t>
            </w:r>
          </w:p>
        </w:tc>
        <w:tc>
          <w:tcPr>
            <w:tcW w:w="5103" w:type="dxa"/>
          </w:tcPr>
          <w:p w:rsidR="00231362" w:rsidRPr="00503EC3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La responsabilidad de los socios frente a terceros es ILIMITADA. La comunidad responde con todos sus bienes y si éstos no fuesen suficientes, con el patrimonio personal de los comuneros.</w:t>
            </w:r>
          </w:p>
        </w:tc>
        <w:tc>
          <w:tcPr>
            <w:tcW w:w="5636" w:type="dxa"/>
          </w:tcPr>
          <w:p w:rsidR="00231362" w:rsidRPr="00503EC3" w:rsidRDefault="00715185" w:rsidP="00503E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LIMITADA. La sociedad responde con todo su patrimonio, pero el socio sólo arriesga el importe de su aportación. </w:t>
            </w:r>
          </w:p>
        </w:tc>
      </w:tr>
      <w:tr w:rsidR="00231362" w:rsidTr="00E42E1F">
        <w:trPr>
          <w:trHeight w:val="965"/>
        </w:trPr>
        <w:tc>
          <w:tcPr>
            <w:tcW w:w="2235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 xml:space="preserve">Capital mínimo de constitución </w:t>
            </w:r>
          </w:p>
        </w:tc>
        <w:tc>
          <w:tcPr>
            <w:tcW w:w="3719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No hay mínimo legal</w:t>
            </w:r>
          </w:p>
        </w:tc>
        <w:tc>
          <w:tcPr>
            <w:tcW w:w="5103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>No existe aportación mínima obligatoria. Estará formado por el bien o derecho pro indiviso.</w:t>
            </w:r>
          </w:p>
        </w:tc>
        <w:tc>
          <w:tcPr>
            <w:tcW w:w="5636" w:type="dxa"/>
          </w:tcPr>
          <w:p w:rsidR="00715185" w:rsidRPr="00956B62" w:rsidRDefault="00715185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185">
              <w:rPr>
                <w:rFonts w:ascii="Arial" w:hAnsi="Arial" w:cs="Arial"/>
                <w:color w:val="000000"/>
                <w:sz w:val="20"/>
                <w:szCs w:val="20"/>
              </w:rPr>
              <w:t xml:space="preserve">Se constituye por las aportaciones de los socios, que podrán ser en metálico, bienes o derechos, y no podrá ser inferior a 3.005,06 €. Además, deberá estar totalmente desembolsado en el momento de la </w:t>
            </w:r>
            <w:r w:rsidR="00503EC3" w:rsidRPr="00715185">
              <w:rPr>
                <w:rFonts w:ascii="Arial" w:hAnsi="Arial" w:cs="Arial"/>
                <w:color w:val="000000"/>
                <w:sz w:val="20"/>
                <w:szCs w:val="20"/>
              </w:rPr>
              <w:t xml:space="preserve">constitución. </w:t>
            </w:r>
          </w:p>
        </w:tc>
      </w:tr>
      <w:tr w:rsidR="00231362" w:rsidTr="00E42E1F">
        <w:trPr>
          <w:trHeight w:val="619"/>
        </w:trPr>
        <w:tc>
          <w:tcPr>
            <w:tcW w:w="2235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 xml:space="preserve">Requisitos de constitución  </w:t>
            </w:r>
          </w:p>
        </w:tc>
        <w:tc>
          <w:tcPr>
            <w:tcW w:w="3719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Ninguno, no hay obligación de inscripción en el registro mercantil</w:t>
            </w:r>
          </w:p>
        </w:tc>
        <w:tc>
          <w:tcPr>
            <w:tcW w:w="5103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 xml:space="preserve">La constitución es sencilla, se realiza a través de un contrato privado, sólo es necesaria escritura pública ante un notario cuando se aporten bienes inmuebles </w:t>
            </w:r>
          </w:p>
        </w:tc>
        <w:tc>
          <w:tcPr>
            <w:tcW w:w="5636" w:type="dxa"/>
          </w:tcPr>
          <w:p w:rsidR="00231362" w:rsidRPr="00956B62" w:rsidRDefault="00715185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185">
              <w:rPr>
                <w:rFonts w:ascii="Arial" w:hAnsi="Arial" w:cs="Arial"/>
                <w:color w:val="000000"/>
                <w:sz w:val="20"/>
                <w:szCs w:val="20"/>
              </w:rPr>
              <w:t>Se constituirá mediante otorgamiento de escritura pública e inscripción en el Registro Mercantil</w:t>
            </w:r>
          </w:p>
        </w:tc>
      </w:tr>
      <w:tr w:rsidR="00231362" w:rsidTr="00E42E1F">
        <w:trPr>
          <w:trHeight w:val="547"/>
        </w:trPr>
        <w:tc>
          <w:tcPr>
            <w:tcW w:w="2235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Tributación</w:t>
            </w:r>
          </w:p>
        </w:tc>
        <w:tc>
          <w:tcPr>
            <w:tcW w:w="3719" w:type="dxa"/>
          </w:tcPr>
          <w:p w:rsidR="00231362" w:rsidRPr="00956B62" w:rsidRDefault="00231362" w:rsidP="00503EC3">
            <w:pPr>
              <w:pStyle w:val="Default"/>
              <w:rPr>
                <w:sz w:val="20"/>
                <w:szCs w:val="20"/>
              </w:rPr>
            </w:pPr>
            <w:r w:rsidRPr="009638B3">
              <w:rPr>
                <w:sz w:val="20"/>
                <w:szCs w:val="20"/>
              </w:rPr>
              <w:t xml:space="preserve">Grava su beneficio de manera variable, </w:t>
            </w:r>
            <w:proofErr w:type="gramStart"/>
            <w:r w:rsidRPr="009638B3">
              <w:rPr>
                <w:sz w:val="20"/>
                <w:szCs w:val="20"/>
              </w:rPr>
              <w:t>de acuerdo a</w:t>
            </w:r>
            <w:proofErr w:type="gramEnd"/>
            <w:r w:rsidRPr="009638B3">
              <w:rPr>
                <w:sz w:val="20"/>
                <w:szCs w:val="20"/>
              </w:rPr>
              <w:t xml:space="preserve"> su cuantía:</w:t>
            </w:r>
          </w:p>
        </w:tc>
        <w:tc>
          <w:tcPr>
            <w:tcW w:w="5103" w:type="dxa"/>
          </w:tcPr>
          <w:p w:rsidR="00231362" w:rsidRPr="00956B62" w:rsidRDefault="00231362" w:rsidP="00503E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 xml:space="preserve">Si obtienen beneficios, pagarán el IRPF en el apartado de rendimientos derivados de actividades económicas </w:t>
            </w:r>
          </w:p>
        </w:tc>
        <w:tc>
          <w:tcPr>
            <w:tcW w:w="5636" w:type="dxa"/>
          </w:tcPr>
          <w:p w:rsidR="00231362" w:rsidRPr="00956B62" w:rsidRDefault="00715185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185">
              <w:rPr>
                <w:rFonts w:ascii="Arial" w:hAnsi="Arial" w:cs="Arial"/>
                <w:color w:val="000000"/>
                <w:sz w:val="20"/>
                <w:szCs w:val="20"/>
              </w:rPr>
              <w:t>Tributan por el Impuesto de Sociedades.</w:t>
            </w:r>
          </w:p>
        </w:tc>
      </w:tr>
      <w:tr w:rsidR="00231362" w:rsidTr="00E42E1F">
        <w:trPr>
          <w:trHeight w:val="1122"/>
        </w:trPr>
        <w:tc>
          <w:tcPr>
            <w:tcW w:w="2235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6B62">
              <w:rPr>
                <w:rFonts w:ascii="Arial" w:hAnsi="Arial" w:cs="Arial"/>
                <w:color w:val="000000"/>
                <w:sz w:val="20"/>
                <w:szCs w:val="20"/>
              </w:rPr>
              <w:t>Seguridad Social</w:t>
            </w:r>
          </w:p>
        </w:tc>
        <w:tc>
          <w:tcPr>
            <w:tcW w:w="3719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 xml:space="preserve">Debe darse de alta en el </w:t>
            </w:r>
            <w:r w:rsidR="00503EC3" w:rsidRPr="001E2919">
              <w:rPr>
                <w:rFonts w:ascii="Arial" w:hAnsi="Arial" w:cs="Arial"/>
                <w:color w:val="000000"/>
                <w:sz w:val="20"/>
                <w:szCs w:val="20"/>
              </w:rPr>
              <w:t>Régimen</w:t>
            </w: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 xml:space="preserve"> Especial de Trabajadores Autónomos (RETA)</w:t>
            </w:r>
          </w:p>
        </w:tc>
        <w:tc>
          <w:tcPr>
            <w:tcW w:w="5103" w:type="dxa"/>
          </w:tcPr>
          <w:p w:rsidR="00231362" w:rsidRPr="00956B62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 xml:space="preserve">Los comuneros que sólo aporten capital no deben darse de alta en la </w:t>
            </w:r>
            <w:r w:rsidR="00503EC3">
              <w:rPr>
                <w:rFonts w:ascii="Arial" w:hAnsi="Arial" w:cs="Arial"/>
                <w:color w:val="000000"/>
                <w:sz w:val="20"/>
                <w:szCs w:val="20"/>
              </w:rPr>
              <w:t>SS</w:t>
            </w:r>
            <w:r w:rsidRPr="001E2919">
              <w:rPr>
                <w:rFonts w:ascii="Arial" w:hAnsi="Arial" w:cs="Arial"/>
                <w:color w:val="000000"/>
                <w:sz w:val="20"/>
                <w:szCs w:val="20"/>
              </w:rPr>
              <w:t>. Si alguno de ellos aporta trabajo se dará de alta en el RETA. En todo caso, si se contrata a algún trabajador se dará de alta al mismo en el Régimen General de la Seguridad Social.</w:t>
            </w:r>
          </w:p>
        </w:tc>
        <w:tc>
          <w:tcPr>
            <w:tcW w:w="5636" w:type="dxa"/>
          </w:tcPr>
          <w:p w:rsidR="00715185" w:rsidRPr="00956B62" w:rsidRDefault="00715185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185">
              <w:rPr>
                <w:rFonts w:ascii="Arial" w:hAnsi="Arial" w:cs="Arial"/>
                <w:color w:val="000000"/>
                <w:sz w:val="20"/>
                <w:szCs w:val="20"/>
              </w:rPr>
              <w:t xml:space="preserve">Si los socios tienen el control efectivo de la sociedad (participación igual o mayor al 50%) deben inscribirse en el </w:t>
            </w:r>
            <w:r w:rsidR="00503EC3" w:rsidRPr="00715185">
              <w:rPr>
                <w:rFonts w:ascii="Arial" w:hAnsi="Arial" w:cs="Arial"/>
                <w:color w:val="000000"/>
                <w:sz w:val="20"/>
                <w:szCs w:val="20"/>
              </w:rPr>
              <w:t>RETA. Si</w:t>
            </w:r>
            <w:r w:rsidRPr="00715185">
              <w:rPr>
                <w:rFonts w:ascii="Arial" w:hAnsi="Arial" w:cs="Arial"/>
                <w:color w:val="000000"/>
                <w:sz w:val="20"/>
                <w:szCs w:val="20"/>
              </w:rPr>
              <w:t xml:space="preserve"> carecen del control efectivo y trabajan en la sociedad se inscribirán en el Régimen General como asimilados.</w:t>
            </w:r>
          </w:p>
        </w:tc>
      </w:tr>
      <w:tr w:rsidR="00231362" w:rsidRPr="00503EC3" w:rsidTr="00E42E1F">
        <w:trPr>
          <w:trHeight w:val="1032"/>
        </w:trPr>
        <w:tc>
          <w:tcPr>
            <w:tcW w:w="2235" w:type="dxa"/>
          </w:tcPr>
          <w:p w:rsidR="00231362" w:rsidRPr="00503EC3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Transmisibilidad </w:t>
            </w:r>
            <w:proofErr w:type="gramStart"/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de  la</w:t>
            </w:r>
            <w:proofErr w:type="gramEnd"/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 participación en la sociedad</w:t>
            </w:r>
          </w:p>
        </w:tc>
        <w:tc>
          <w:tcPr>
            <w:tcW w:w="3719" w:type="dxa"/>
          </w:tcPr>
          <w:p w:rsidR="00231362" w:rsidRPr="00503EC3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Al ser el único </w:t>
            </w:r>
            <w:r w:rsidR="00503EC3" w:rsidRPr="00503EC3">
              <w:rPr>
                <w:rFonts w:ascii="Arial" w:hAnsi="Arial" w:cs="Arial"/>
                <w:color w:val="000000"/>
                <w:sz w:val="20"/>
                <w:szCs w:val="20"/>
              </w:rPr>
              <w:t>propietario</w:t>
            </w: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, puede decidir sin contar con nadie más a quién desea transmitirla.</w:t>
            </w:r>
          </w:p>
        </w:tc>
        <w:tc>
          <w:tcPr>
            <w:tcW w:w="5103" w:type="dxa"/>
          </w:tcPr>
          <w:p w:rsidR="00231362" w:rsidRPr="00503EC3" w:rsidRDefault="00231362" w:rsidP="00503E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Independientemente del uso conjunto de la cosa o derecho se reconoce la existencia de un derecho </w:t>
            </w:r>
            <w:r w:rsidR="00503EC3" w:rsidRPr="00503EC3">
              <w:rPr>
                <w:rFonts w:ascii="Arial" w:hAnsi="Arial" w:cs="Arial"/>
                <w:color w:val="000000"/>
                <w:sz w:val="20"/>
                <w:szCs w:val="20"/>
              </w:rPr>
              <w:t>individual. Todo</w:t>
            </w: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 miembro de la comunidad tiene la plena propiedad de la parte que le corresponde.</w:t>
            </w:r>
          </w:p>
        </w:tc>
        <w:tc>
          <w:tcPr>
            <w:tcW w:w="5636" w:type="dxa"/>
          </w:tcPr>
          <w:p w:rsidR="00231362" w:rsidRPr="00503EC3" w:rsidRDefault="00715185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Únicamente es libre si el comprador es cónyuge, ascendiente, descendiente o sociedad del grupo, estando limitado al consentimiento de la Junta en el resto de los casos.</w:t>
            </w:r>
          </w:p>
        </w:tc>
      </w:tr>
      <w:tr w:rsidR="00231362" w:rsidRPr="00503EC3" w:rsidTr="00E42E1F">
        <w:tc>
          <w:tcPr>
            <w:tcW w:w="2235" w:type="dxa"/>
          </w:tcPr>
          <w:p w:rsidR="00231362" w:rsidRPr="00503EC3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719" w:type="dxa"/>
          </w:tcPr>
          <w:p w:rsidR="00231362" w:rsidRPr="00503EC3" w:rsidRDefault="00231362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La denominación de la empresa individual es el nombre de </w:t>
            </w:r>
            <w:proofErr w:type="spellStart"/>
            <w:proofErr w:type="gramStart"/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al</w:t>
            </w:r>
            <w:proofErr w:type="spellEnd"/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 persona física</w:t>
            </w:r>
            <w:proofErr w:type="gramEnd"/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, aunque se puede actuar con un nombre comercial que sea diferente a nombres ya registrados.</w:t>
            </w:r>
          </w:p>
        </w:tc>
        <w:tc>
          <w:tcPr>
            <w:tcW w:w="5103" w:type="dxa"/>
          </w:tcPr>
          <w:p w:rsidR="00231362" w:rsidRPr="00503EC3" w:rsidRDefault="00231362" w:rsidP="00503E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 xml:space="preserve">No está regulada la denominación de la comunidad, por lo que podrá adoptar cualquier nombre, acompañado de las palabras Comunidad de Bienes o " C.B" </w:t>
            </w:r>
          </w:p>
        </w:tc>
        <w:tc>
          <w:tcPr>
            <w:tcW w:w="5636" w:type="dxa"/>
          </w:tcPr>
          <w:p w:rsidR="00231362" w:rsidRPr="00503EC3" w:rsidRDefault="00715185" w:rsidP="00503EC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3EC3">
              <w:rPr>
                <w:rFonts w:ascii="Arial" w:hAnsi="Arial" w:cs="Arial"/>
                <w:color w:val="000000"/>
                <w:sz w:val="20"/>
                <w:szCs w:val="20"/>
              </w:rPr>
              <w:t>Su denominación no podrá ser idéntica a la de otra sociedad existente, y con el nombre deberá figurar la indicación de "Sociedad De Responsabilidad Limitada" o " Sociedad Limitada" o sus abreviaturas "SRL" o "SL".</w:t>
            </w:r>
          </w:p>
        </w:tc>
      </w:tr>
    </w:tbl>
    <w:p w:rsidR="00F60F07" w:rsidRDefault="00F60F07"/>
    <w:p w:rsidR="00E42E1F" w:rsidRDefault="00E42E1F"/>
    <w:sectPr w:rsidR="00E42E1F" w:rsidSect="00BA69E8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B62"/>
    <w:rsid w:val="001E2919"/>
    <w:rsid w:val="00231362"/>
    <w:rsid w:val="00503EC3"/>
    <w:rsid w:val="00715185"/>
    <w:rsid w:val="00956B62"/>
    <w:rsid w:val="00BA69E8"/>
    <w:rsid w:val="00E42E1F"/>
    <w:rsid w:val="00F6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C9FFE2-AF33-42EB-9936-817A402B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B6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B62"/>
    <w:pPr>
      <w:ind w:left="720"/>
      <w:contextualSpacing/>
    </w:pPr>
  </w:style>
  <w:style w:type="paragraph" w:customStyle="1" w:styleId="Default">
    <w:name w:val="Default"/>
    <w:rsid w:val="00956B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5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IGNACIO VACAS MATENCIO</cp:lastModifiedBy>
  <cp:revision>3</cp:revision>
  <cp:lastPrinted>2017-11-21T10:02:00Z</cp:lastPrinted>
  <dcterms:created xsi:type="dcterms:W3CDTF">2017-11-20T17:23:00Z</dcterms:created>
  <dcterms:modified xsi:type="dcterms:W3CDTF">2017-11-21T10:05:00Z</dcterms:modified>
</cp:coreProperties>
</file>