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44E0AF">
      <w:pPr>
        <w:pBdr/>
        <w:spacing/>
        <w:ind/>
        <w:rPr/>
      </w:pPr>
      <w:r>
        <w:t xml:space="preserve"># INTERIM SERVICES CONTRACT</w:t>
      </w:r>
      <w:r/>
    </w:p>
    <w:p w14:paraId="69F45355">
      <w:pPr>
        <w:pBdr/>
        <w:spacing/>
        <w:ind/>
        <w:rPr/>
      </w:pPr>
      <w:r/>
      <w:r/>
    </w:p>
    <w:p w14:paraId="42444721">
      <w:pPr>
        <w:pBdr/>
        <w:spacing/>
        <w:ind/>
        <w:rPr/>
      </w:pPr>
      <w:r>
        <w:t xml:space="preserve">**Date:** July 8, 2026  </w:t>
      </w:r>
      <w:r/>
    </w:p>
    <w:p w14:paraId="3F11DD29">
      <w:pPr>
        <w:pBdr/>
        <w:spacing/>
        <w:ind/>
        <w:rPr/>
      </w:pPr>
      <w:r>
        <w:t xml:space="preserve">**Parties:** - **Consultant:** Amogha (Independent Software Engineer)  </w:t>
      </w:r>
      <w:r/>
    </w:p>
    <w:p w14:paraId="58A4BD4B">
      <w:pPr>
        <w:pBdr/>
        <w:spacing/>
        <w:ind/>
        <w:rPr/>
      </w:pPr>
      <w:r>
        <w:t xml:space="preserve">- **Company:** Vertex Retail Labs, Mumbai, India  </w:t>
      </w:r>
      <w:r/>
    </w:p>
    <w:p w14:paraId="09C2E2DC">
      <w:pPr>
        <w:pBdr/>
        <w:spacing/>
        <w:ind/>
        <w:rPr/>
      </w:pPr>
      <w:r/>
      <w:r/>
    </w:p>
    <w:p w14:paraId="691C8A70">
      <w:pPr>
        <w:pBdr/>
        <w:spacing/>
        <w:ind/>
        <w:rPr/>
      </w:pPr>
      <w:r>
        <w:t xml:space="preserve">---</w:t>
      </w:r>
      <w:r/>
    </w:p>
    <w:p w14:paraId="137FBBE7">
      <w:pPr>
        <w:pBdr/>
        <w:spacing/>
        <w:ind/>
        <w:rPr/>
      </w:pPr>
      <w:r/>
      <w:r/>
    </w:p>
    <w:p w14:paraId="68C04D25">
      <w:pPr>
        <w:pBdr/>
        <w:spacing/>
        <w:ind/>
        <w:rPr/>
      </w:pPr>
      <w:r>
        <w:t xml:space="preserve">## Section 1: Engagement Strategy</w:t>
      </w:r>
      <w:r/>
    </w:p>
    <w:p w14:paraId="1CD4A1CE">
      <w:pPr>
        <w:pBdr/>
        <w:spacing/>
        <w:ind/>
        <w:rPr/>
      </w:pPr>
      <w:r>
        <w:t xml:space="preserve">The Company hereby engages the Consultant to execute a complete platform migration. The project will be executed sequentially in named phases to ensure strict adherence to deliverables.</w:t>
      </w:r>
      <w:r/>
    </w:p>
    <w:p w14:paraId="711AD80A">
      <w:pPr>
        <w:pBdr/>
        <w:spacing/>
        <w:ind/>
        <w:rPr/>
      </w:pPr>
      <w:r/>
      <w:r/>
    </w:p>
    <w:p w14:paraId="152E37F1">
      <w:pPr>
        <w:pBdr/>
        <w:spacing/>
        <w:ind/>
        <w:rPr/>
      </w:pPr>
      <w:r>
        <w:t xml:space="preserve">## Section 2: Phase Breakdown &amp; Scope</w:t>
      </w:r>
      <w:r/>
    </w:p>
    <w:p w14:paraId="7738DC26">
      <w:pPr>
        <w:pBdr/>
        <w:spacing/>
        <w:ind/>
        <w:rPr/>
      </w:pPr>
      <w:r>
        <w:t xml:space="preserve">The execution of services is divided into the following discrete phases. Payment allocations are embedded below within their respective operational scopes:</w:t>
      </w:r>
      <w:r/>
    </w:p>
    <w:p w14:paraId="6DEB081F">
      <w:pPr>
        <w:pBdr/>
        <w:spacing/>
        <w:ind/>
        <w:rPr/>
      </w:pPr>
      <w:r/>
      <w:r/>
    </w:p>
    <w:p w14:paraId="5A0C7181">
      <w:pPr>
        <w:pBdr/>
        <w:spacing/>
        <w:ind/>
        <w:rPr/>
      </w:pPr>
      <w:r>
        <w:t xml:space="preserve">### Phase 1: Discovery and Architecture Audit</w:t>
      </w:r>
      <w:r/>
    </w:p>
    <w:p w14:paraId="62A808AA">
      <w:pPr>
        <w:pBdr/>
        <w:spacing/>
        <w:ind/>
        <w:rPr/>
      </w:pPr>
      <w:r>
        <w:t xml:space="preserve">The Consultant will conduct a comprehensive audit of the legacy database infrastructure. </w:t>
      </w:r>
      <w:r/>
    </w:p>
    <w:p w14:paraId="3C74B609">
      <w:pPr>
        <w:pBdr/>
        <w:spacing/>
        <w:ind/>
        <w:rPr/>
      </w:pPr>
      <w:r>
        <w:t xml:space="preserve">* **Deliverables:** System Architecture Blueprint Document.</w:t>
      </w:r>
      <w:r/>
    </w:p>
    <w:p w14:paraId="4EDE4620">
      <w:pPr>
        <w:pBdr/>
        <w:spacing/>
        <w:ind/>
        <w:rPr/>
      </w:pPr>
      <w:r>
        <w:t xml:space="preserve">* **Timeline:** 2 weeks from kickoff.</w:t>
      </w:r>
      <w:r/>
    </w:p>
    <w:p w14:paraId="08DF5EF4">
      <w:pPr>
        <w:pBdr/>
        <w:spacing/>
        <w:ind/>
        <w:rPr/>
      </w:pPr>
      <w:r>
        <w:t xml:space="preserve">* **Compensation:** Upon formal acceptance and sign-off of the Architecture Blueprint, a milestone payment of ₹75,000 is triggered.</w:t>
      </w:r>
      <w:r/>
    </w:p>
    <w:p w14:paraId="3211EDE8">
      <w:pPr>
        <w:pBdr/>
        <w:spacing/>
        <w:ind/>
        <w:rPr/>
      </w:pPr>
      <w:r/>
      <w:r/>
    </w:p>
    <w:p w14:paraId="7A14CF81">
      <w:pPr>
        <w:pBdr/>
        <w:spacing/>
        <w:ind/>
        <w:rPr/>
      </w:pPr>
      <w:r>
        <w:t xml:space="preserve">### Phase 2: Core Core Migration &amp; Integration</w:t>
      </w:r>
      <w:r/>
    </w:p>
    <w:p w14:paraId="4CDF7509">
      <w:pPr>
        <w:pBdr/>
        <w:spacing/>
        <w:ind/>
        <w:rPr/>
      </w:pPr>
      <w:r>
        <w:t xml:space="preserve">The Consultant will migrate the legacy relational database to a managed MongoDB Atlas cluster.</w:t>
      </w:r>
      <w:r/>
    </w:p>
    <w:p w14:paraId="1494AA44">
      <w:pPr>
        <w:pBdr/>
        <w:spacing/>
        <w:ind/>
        <w:rPr/>
      </w:pPr>
      <w:r>
        <w:t xml:space="preserve">* **Deliverables:** Production MongoDB Instance &amp; Data Pipeline Scripts.</w:t>
      </w:r>
      <w:r/>
    </w:p>
    <w:p w14:paraId="131B8D96">
      <w:pPr>
        <w:pBdr/>
        <w:spacing/>
        <w:ind/>
        <w:rPr/>
      </w:pPr>
      <w:r>
        <w:t xml:space="preserve">* **Timeline:** 4 weeks following Phase 1 approval.</w:t>
      </w:r>
      <w:r/>
    </w:p>
    <w:p w14:paraId="4F95EC90">
      <w:pPr>
        <w:pBdr/>
        <w:spacing/>
        <w:ind/>
        <w:rPr/>
      </w:pPr>
      <w:r>
        <w:t xml:space="preserve">* **Compensation:** Upon validation of data integrity and zero-downtime cluster cutover, a milestone payment of ₹1,50,000 is triggered.</w:t>
      </w:r>
      <w:r/>
    </w:p>
    <w:p w14:paraId="4F45D027">
      <w:pPr>
        <w:pBdr/>
        <w:spacing/>
        <w:ind/>
        <w:rPr/>
      </w:pPr>
      <w:r/>
      <w:r/>
    </w:p>
    <w:p w14:paraId="1765AA2F">
      <w:pPr>
        <w:pBdr/>
        <w:spacing/>
        <w:ind/>
        <w:rPr/>
      </w:pPr>
      <w:r>
        <w:t xml:space="preserve">### Phase 3: Post-Launch Warranty Phase</w:t>
      </w:r>
      <w:r/>
    </w:p>
    <w:p w14:paraId="1EFE658D">
      <w:pPr>
        <w:pBdr/>
        <w:spacing/>
        <w:ind/>
        <w:rPr/>
      </w:pPr>
      <w:r>
        <w:t xml:space="preserve">A mandatory stability monitoring period will follow the live migration.</w:t>
      </w:r>
      <w:r/>
    </w:p>
    <w:p w14:paraId="5D7270A9">
      <w:pPr>
        <w:pBdr/>
        <w:spacing/>
        <w:ind/>
        <w:rPr/>
      </w:pPr>
      <w:r>
        <w:t xml:space="preserve">* **Deliverables:** Performance optimization logs and weekly error reports.</w:t>
      </w:r>
      <w:r/>
    </w:p>
    <w:p w14:paraId="3A5D0FF3">
      <w:pPr>
        <w:pBdr/>
        <w:spacing/>
        <w:ind/>
        <w:rPr/>
      </w:pPr>
      <w:r>
        <w:t xml:space="preserve">* **Timeline:** 30 days post-migration.</w:t>
      </w:r>
      <w:r/>
    </w:p>
    <w:p w14:paraId="625B9D0A">
      <w:pPr>
        <w:pBdr/>
        <w:spacing/>
        <w:ind/>
        <w:rPr/>
      </w:pPr>
      <w:r>
        <w:t xml:space="preserve">* **Compensation:** Following the conclusion of the 30-day stability monitoring period, the final phase retention amount of ₹50,000 will be released.</w:t>
      </w:r>
      <w:r/>
    </w:p>
    <w:p w14:paraId="39039690">
      <w:pPr>
        <w:pBdr/>
        <w:spacing/>
        <w:ind/>
        <w:rPr/>
      </w:pPr>
      <w:r/>
      <w:r/>
    </w:p>
    <w:p w14:paraId="6D668A3C">
      <w:pPr>
        <w:pBdr/>
        <w:spacing/>
        <w:ind/>
        <w:rPr/>
      </w:pPr>
      <w:r>
        <w:t xml:space="preserve">## Section 3: Billing Operations</w:t>
      </w:r>
      <w:r/>
    </w:p>
    <w:p w14:paraId="5AA1801D">
      <w:pPr>
        <w:pBdr/>
        <w:spacing/>
        <w:ind/>
        <w:rPr/>
      </w:pPr>
      <w:r>
        <w:t xml:space="preserve">All amounts explicitly outlined in Section 2 are net totals. Invoices will be generated digitally upon completion of each phase. Vertex Retail Labs operates under a Net 15 payment policy; all invoices must be paid via bank transfer within 15 calendar days o</w:t>
      </w:r>
      <w:r>
        <w:t xml:space="preserve">f issuance. </w:t>
      </w:r>
      <w:r/>
    </w:p>
    <w:p w14:paraId="6E6EF3B3">
      <w:pPr>
        <w:pBdr/>
        <w:spacing/>
        <w:ind/>
        <w:rPr/>
      </w:pPr>
      <w:r/>
      <w:r/>
    </w:p>
    <w:p w14:paraId="53B31FCE">
      <w:pPr>
        <w:pBdr/>
        <w:spacing/>
        <w:ind/>
        <w:rPr/>
      </w:pPr>
      <w:r>
        <w:t xml:space="preserve">---</w:t>
      </w:r>
      <w:r/>
    </w:p>
    <w:p>
      <w:pPr>
        <w:pBdr/>
        <w:spacing/>
        <w:ind/>
        <w:rPr/>
      </w:pPr>
      <w:r>
        <w:t xml:space="preserve">[End of Document]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2026-07-08T11:24:12Z</dcterms:modified>
</cp:coreProperties>
</file>