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4DBEC8"/>
          <w:sz w:val="56"/>
          <w:szCs w:val="56"/>
        </w:rPr>
        <w:t xml:space="preserve">KEON GROUP</w:t>
      </w:r>
    </w:p>
    <w:p>
      <w:pPr>
        <w:spacing w:after="100"/>
        <w:jc w:val="center"/>
      </w:pPr>
      <w:r>
        <w:rPr>
          <w:color w:val="414648"/>
          <w:sz w:val="24"/>
          <w:szCs w:val="24"/>
        </w:rPr>
        <w:t xml:space="preserve">Service IT / Digital</w:t>
      </w:r>
    </w:p>
    <w:p>
      <w:pPr>
        <w:spacing w:after="200" w:before="1200"/>
        <w:jc w:val="center"/>
      </w:pPr>
      <w:r>
        <w:rPr>
          <w:b/>
          <w:bCs/>
          <w:color w:val="414648"/>
          <w:sz w:val="48"/>
          <w:szCs w:val="48"/>
        </w:rPr>
        <w:t xml:space="preserve">Cahier des charges</w:t>
      </w:r>
    </w:p>
    <w:p>
      <w:pPr>
        <w:spacing w:after="600"/>
        <w:jc w:val="center"/>
      </w:pPr>
      <w:r>
        <w:rPr>
          <w:i/>
          <w:iCs/>
          <w:color w:val="414648"/>
          <w:sz w:val="28"/>
          <w:szCs w:val="28"/>
        </w:rPr>
        <w:t xml:space="preserve">Demande de développement applicatif</w:t>
      </w:r>
    </w:p>
    <w:p>
      <w:pPr>
        <w:spacing w:before="600"/>
        <w:jc w:val="center"/>
      </w:pPr>
      <w:r>
        <w:rPr>
          <w:b/>
          <w:bCs/>
          <w:color w:val="FF9432"/>
          <w:sz w:val="22"/>
          <w:szCs w:val="22"/>
        </w:rPr>
        <w:t xml:space="preserve">Version 0 — formulaire à compléter</w:t>
      </w:r>
    </w:p>
    <w:p>
      <w:pPr>
        <w:spacing w:after="40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414648"/>
                <w:sz w:val="22"/>
                <w:szCs w:val="22"/>
              </w:rPr>
              <w:t xml:space="preserve">Comment utiliser ce document</w:t>
            </w:r>
          </w:p>
        </w:tc>
      </w:tr>
    </w:tbl>
    <w:p>
      <w:pPr>
        <w:spacing w:after="12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i/>
          <w:iCs/>
          <w:color w:val="666666"/>
          <w:sz w:val="18"/>
          <w:szCs w:val="18"/>
        </w:rPr>
        <w:t xml:space="preserve">• Toutes les zones surlignées en jaune sont à compléter.</w:t>
      </w:r>
    </w:p>
    <w:p>
      <w:pPr>
        <w:spacing w:after="60" w:before="60"/>
      </w:pPr>
      <w:r>
        <w:rPr>
          <w:i/>
          <w:iCs/>
          <w:color w:val="666666"/>
          <w:sz w:val="18"/>
          <w:szCs w:val="18"/>
        </w:rPr>
        <w:t xml:space="preserve">• Les cases à cocher (☐) doivent être remplacées par ☒ une fois cochées (Insertion → Symbole sous Word, ou copier ☒).</w:t>
      </w:r>
    </w:p>
    <w:p>
      <w:pPr>
        <w:spacing w:after="60" w:before="60"/>
      </w:pPr>
      <w:r>
        <w:rPr>
          <w:i/>
          <w:iCs/>
          <w:color w:val="666666"/>
          <w:sz w:val="18"/>
          <w:szCs w:val="18"/>
        </w:rPr>
        <w:t xml:space="preserve">• Pour la collaboration à plusieurs : déposer ce document sur SharePoint puis ouvrir avec Word Online (co-édition en temps réel, sauvegarde automatique).</w:t>
      </w:r>
    </w:p>
    <w:p>
      <w:pPr>
        <w:spacing w:after="60" w:before="60"/>
      </w:pPr>
      <w:r>
        <w:rPr>
          <w:i/>
          <w:iCs/>
          <w:color w:val="666666"/>
          <w:sz w:val="18"/>
          <w:szCs w:val="18"/>
        </w:rPr>
        <w:t xml:space="preserve">• Sections facultatives : laisser les zones vides si non applicable.</w:t>
      </w:r>
    </w:p>
    <w:p>
      <w:pPr>
        <w:spacing w:after="60" w:before="60"/>
      </w:pPr>
      <w:r>
        <w:rPr>
          <w:i/>
          <w:iCs/>
          <w:color w:val="666666"/>
          <w:sz w:val="18"/>
          <w:szCs w:val="18"/>
        </w:rPr>
        <w:t xml:space="preserve">• En cas de question, contacter le service IT/Digital de KEON Group.</w:t>
      </w:r>
    </w:p>
    <w:p>
      <w:r>
        <w:br w:type="page"/>
      </w:r>
    </w:p>
    <w:p>
      <w:pPr>
        <w:pStyle w:val="Heading1"/>
        <w:pBdr>
          <w:bottom w:val="single" w:color="414648" w:sz="12" w:space="1"/>
        </w:pBdr>
        <w:shd w:fill="4DBEC8" w:val="clear"/>
        <w:spacing w:after="200" w:before="360"/>
      </w:pPr>
      <w:r>
        <w:rPr>
          <w:b/>
          <w:bCs/>
          <w:color w:val="FFFFFF"/>
          <w:sz w:val="28"/>
          <w:szCs w:val="28"/>
        </w:rPr>
        <w:t xml:space="preserve">0. Synthèse exécutive</w:t>
      </w:r>
    </w:p>
    <w:p>
      <w:pPr>
        <w:spacing w:after="60" w:before="60"/>
      </w:pPr>
      <w:r>
        <w:rPr>
          <w:i/>
          <w:iCs/>
          <w:color w:val="666666"/>
          <w:sz w:val="18"/>
          <w:szCs w:val="18"/>
        </w:rPr>
        <w:t xml:space="preserve">Bloc rempli en priorité. Permet à l'IT de comprendre l'essentiel en moins d'une minute.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Nom du projet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ex : Application de suivi des audits qualité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Phrase unique décrivant l'application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ex : permettre aux auditeurs de saisir leurs constats sur mobile et au QHSE de consolider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Demandeur (nom)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Prénom Nom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Fonction du demandeur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ex : Responsable QHSE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Société du demandeur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ex : NASKEO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Email du demandeur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prenom.nom@keon-group.com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Sponsor / valideur (nom)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Prénom Nom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Email du sponsor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prenom.nom@keon-group.com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Date de la demande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JJ/MM/AAAA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Échéance souhaitée du MVP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JJ/MM/AAAA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180"/>
      </w:pPr>
      <w:r>
        <w:rPr>
          <w:b/>
          <w:bCs/>
          <w:color w:val="4DBEC8"/>
          <w:sz w:val="22"/>
          <w:szCs w:val="22"/>
        </w:rPr>
        <w:t xml:space="preserve">Stack pressentie</w:t>
      </w:r>
    </w:p>
    <w:p>
      <w:pPr>
        <w:spacing w:after="60" w:before="60"/>
      </w:pPr>
      <w:r>
        <w:rPr>
          <w:i/>
          <w:iCs/>
          <w:color w:val="666666"/>
          <w:sz w:val="18"/>
          <w:szCs w:val="18"/>
        </w:rPr>
        <w:t xml:space="preserve">Cocher au choix. Si aucune préférence, laisser le service IT trancher.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Lovable + Supabase (standard KEON pour apps métier rapides)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Power Apps (cas Microsoft 365 simple)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Power Automate seul (workflow sans interface)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Autre : </w:t>
      </w:r>
      <w:r>
        <w:rPr>
          <w:i/>
          <w:iCs/>
          <w:color w:val="9AA0A6"/>
          <w:sz w:val="20"/>
          <w:szCs w:val="20"/>
        </w:rPr>
        <w:t xml:space="preserve">[à compléter]</w:t>
      </w:r>
    </w:p>
    <w:p>
      <w:pPr>
        <w:pStyle w:val="Heading3"/>
        <w:spacing w:after="100" w:before="180"/>
      </w:pPr>
      <w:r>
        <w:rPr>
          <w:b/>
          <w:bCs/>
          <w:color w:val="4DBEC8"/>
          <w:sz w:val="22"/>
          <w:szCs w:val="22"/>
        </w:rPr>
        <w:t xml:space="preserve">Criticité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Critique — arrêt = impact business immédiat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Importante — usage quotidien, dégradation tolérable &lt; 24h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Standard — usage hebdomadaire ou mensuel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Pilote / POC</w:t>
      </w:r>
    </w:p>
    <w:p>
      <w:pPr>
        <w:pStyle w:val="Heading3"/>
        <w:spacing w:after="100" w:before="180"/>
      </w:pPr>
      <w:r>
        <w:rPr>
          <w:b/>
          <w:bCs/>
          <w:color w:val="4DBEC8"/>
          <w:sz w:val="22"/>
          <w:szCs w:val="22"/>
        </w:rPr>
        <w:t xml:space="preserve">Sociétés du groupe concernées</w:t>
      </w:r>
    </w:p>
    <w:p>
      <w:pPr>
        <w:spacing w:after="60" w:before="60"/>
      </w:pPr>
      <w:r>
        <w:rPr>
          <w:i/>
          <w:iCs/>
          <w:color w:val="666666"/>
          <w:sz w:val="18"/>
          <w:szCs w:val="18"/>
        </w:rPr>
        <w:t xml:space="preserve">Cocher toutes les entités utilisatrices.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KEON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NASKEO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KEONBIO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TERGREEN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SYCOMORE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TEIKEI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CERES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AUNIS / SURG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DOLE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OUZO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VINZ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AKEN45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Toutes (groupe)</w:t>
      </w:r>
    </w:p>
    <w:p>
      <w:r>
        <w:br w:type="page"/>
      </w:r>
    </w:p>
    <w:p>
      <w:pPr>
        <w:pStyle w:val="Heading1"/>
        <w:pBdr>
          <w:bottom w:val="single" w:color="414648" w:sz="12" w:space="1"/>
        </w:pBdr>
        <w:shd w:fill="4DBEC8" w:val="clear"/>
        <w:spacing w:after="200" w:before="360"/>
      </w:pPr>
      <w:r>
        <w:rPr>
          <w:b/>
          <w:bCs/>
          <w:color w:val="FFFFFF"/>
          <w:sz w:val="28"/>
          <w:szCs w:val="28"/>
        </w:rPr>
        <w:t xml:space="preserve">1. Contexte et besoin métier</w:t>
      </w:r>
    </w:p>
    <w:p>
      <w:pPr>
        <w:pStyle w:val="Heading2"/>
        <w:spacing w:after="120" w:before="240"/>
      </w:pPr>
      <w:r>
        <w:rPr>
          <w:b/>
          <w:bCs/>
          <w:color w:val="414648"/>
          <w:sz w:val="24"/>
          <w:szCs w:val="24"/>
        </w:rPr>
        <w:t xml:space="preserve">1.1 Problème actuel</w:t>
      </w:r>
    </w:p>
    <w:p>
      <w:pPr>
        <w:spacing w:after="60" w:before="60"/>
      </w:pPr>
      <w:r>
        <w:rPr>
          <w:i/>
          <w:iCs/>
          <w:color w:val="666666"/>
          <w:sz w:val="18"/>
          <w:szCs w:val="18"/>
        </w:rPr>
        <w:t xml:space="preserve">Décrire la situation telle qu'elle existe aujourd'hui : outils utilisés, processus manuels, douleurs.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[Décrire ici le problème actuel]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414648"/>
          <w:sz w:val="24"/>
          <w:szCs w:val="24"/>
        </w:rPr>
        <w:t xml:space="preserve">1.2 Objectifs de l'application</w:t>
      </w:r>
    </w:p>
    <w:p>
      <w:pPr>
        <w:spacing w:after="60" w:before="60"/>
      </w:pPr>
      <w:r>
        <w:rPr>
          <w:i/>
          <w:iCs/>
          <w:color w:val="666666"/>
          <w:sz w:val="18"/>
          <w:szCs w:val="18"/>
        </w:rPr>
        <w:t xml:space="preserve">Lister 3 à 5 objectifs SMART (spécifique, mesurable, atteignable, réaliste, temporel).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Objectif 1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Objectif 2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Objectif 3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Objectif 4 (optionnel)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 ou laisser vide]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Objectif 5 (optionnel)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 ou laisser vide]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414648"/>
          <w:sz w:val="24"/>
          <w:szCs w:val="24"/>
        </w:rPr>
        <w:t xml:space="preserve">1.3 Indicateurs de succès (KPIs)</w:t>
      </w:r>
    </w:p>
    <w:p>
      <w:pPr>
        <w:spacing w:after="60" w:before="60"/>
      </w:pPr>
      <w:r>
        <w:rPr>
          <w:i/>
          <w:iCs/>
          <w:color w:val="666666"/>
          <w:sz w:val="18"/>
          <w:szCs w:val="18"/>
        </w:rPr>
        <w:t xml:space="preserve">Indicateurs qui permettront de mesurer le succès du projet après mise en production.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18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Valeur actuelle</w:t>
            </w:r>
          </w:p>
        </w:tc>
        <w:tc>
          <w:tcPr>
            <w:tcW w:type="dxa" w:w="18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  <w:tc>
          <w:tcPr>
            <w:tcW w:type="dxa" w:w="27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Méthode de mesure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8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8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27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8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8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27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8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8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27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8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8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27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14648" w:sz="12" w:space="1"/>
        </w:pBdr>
        <w:shd w:fill="4DBEC8" w:val="clear"/>
        <w:spacing w:after="200" w:before="360"/>
      </w:pPr>
      <w:r>
        <w:rPr>
          <w:b/>
          <w:bCs/>
          <w:color w:val="FFFFFF"/>
          <w:sz w:val="28"/>
          <w:szCs w:val="28"/>
        </w:rPr>
        <w:t xml:space="preserve">2. Utilisateurs et profils</w:t>
      </w:r>
    </w:p>
    <w:p>
      <w:pPr>
        <w:pStyle w:val="Heading2"/>
        <w:spacing w:after="120" w:before="240"/>
      </w:pPr>
      <w:r>
        <w:rPr>
          <w:b/>
          <w:bCs/>
          <w:color w:val="414648"/>
          <w:sz w:val="24"/>
          <w:szCs w:val="24"/>
        </w:rPr>
        <w:t xml:space="preserve">2.1 Volumétrie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Nombre total d'utilisateurs prévus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ex : 45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Utilisateurs simultanés en pic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ex : 10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Croissance estimée à 12 mois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ex : +20%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414648"/>
          <w:sz w:val="24"/>
          <w:szCs w:val="24"/>
        </w:rPr>
        <w:t xml:space="preserve">2.2 Profils utilisateurs</w:t>
      </w:r>
    </w:p>
    <w:p>
      <w:pPr>
        <w:spacing w:after="60" w:before="60"/>
      </w:pPr>
      <w:r>
        <w:rPr>
          <w:i/>
          <w:iCs/>
          <w:color w:val="666666"/>
          <w:sz w:val="18"/>
          <w:szCs w:val="18"/>
        </w:rPr>
        <w:t xml:space="preserve">Décrire chaque profil distinct. Dupliquer le bloc autant de fois que nécessaire (copier-coller).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180"/>
      </w:pPr>
      <w:r>
        <w:rPr>
          <w:b/>
          <w:bCs/>
          <w:color w:val="4DBEC8"/>
          <w:sz w:val="22"/>
          <w:szCs w:val="22"/>
        </w:rPr>
        <w:t xml:space="preserve">Profil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Nom du rôle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ex : Auditeur terrain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Société(s) / service(s) concernés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Effectif estimé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ex : 8 personnes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r>
        <w:rPr>
          <w:b/>
          <w:bCs/>
          <w:sz w:val="20"/>
          <w:szCs w:val="20"/>
        </w:rPr>
        <w:t xml:space="preserve">Compétence numérique :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Faible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Moyenne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Élevée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r>
        <w:rPr>
          <w:b/>
          <w:bCs/>
          <w:sz w:val="20"/>
          <w:szCs w:val="20"/>
        </w:rPr>
        <w:t xml:space="preserve">Fréquence d'usage :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Quotidienne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Hebdomadaire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Mensuelle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Ponctuelle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r>
        <w:rPr>
          <w:b/>
          <w:bCs/>
          <w:sz w:val="20"/>
          <w:szCs w:val="20"/>
        </w:rPr>
        <w:t xml:space="preserve">Actions principales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[Lister les actions, une par ligne]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Données accessibles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ex : ses propres audits + audits de son périmètre site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Données restreintes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ex : pas d'accès aux audits d'autres sociétés</w:t>
            </w:r>
          </w:p>
        </w:tc>
      </w:tr>
    </w:tbl>
    <w:p>
      <w:pPr>
        <w:spacing w:after="20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180"/>
      </w:pPr>
      <w:r>
        <w:rPr>
          <w:b/>
          <w:bCs/>
          <w:color w:val="4DBEC8"/>
          <w:sz w:val="22"/>
          <w:szCs w:val="22"/>
        </w:rPr>
        <w:t xml:space="preserve">Profil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Nom du rôle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Société(s) / service(s) concernés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Effectif estimé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r>
        <w:rPr>
          <w:b/>
          <w:bCs/>
          <w:sz w:val="20"/>
          <w:szCs w:val="20"/>
        </w:rPr>
        <w:t xml:space="preserve">Compétence numérique :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Faible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Moyenne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Élevée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r>
        <w:rPr>
          <w:b/>
          <w:bCs/>
          <w:sz w:val="20"/>
          <w:szCs w:val="20"/>
        </w:rPr>
        <w:t xml:space="preserve">Fréquence d'usage :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Quotidienne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Hebdomadaire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Mensuelle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Ponctuelle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r>
        <w:rPr>
          <w:b/>
          <w:bCs/>
          <w:sz w:val="20"/>
          <w:szCs w:val="20"/>
        </w:rPr>
        <w:t xml:space="preserve">Actions principales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[Lister les actions, une par ligne]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Données accessibles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Données restreintes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</w:tbl>
    <w:p>
      <w:pPr>
        <w:spacing w:after="20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180"/>
      </w:pPr>
      <w:r>
        <w:rPr>
          <w:b/>
          <w:bCs/>
          <w:color w:val="4DBEC8"/>
          <w:sz w:val="22"/>
          <w:szCs w:val="22"/>
        </w:rPr>
        <w:t xml:space="preserve">Profil 3 (optionnel)</w:t>
      </w:r>
    </w:p>
    <w:p>
      <w:pPr>
        <w:spacing w:after="60" w:before="60"/>
      </w:pPr>
      <w:r>
        <w:rPr>
          <w:i/>
          <w:iCs/>
          <w:color w:val="666666"/>
          <w:sz w:val="18"/>
          <w:szCs w:val="18"/>
        </w:rPr>
        <w:t xml:space="preserve">Supprimer ce bloc si non applicable, ou copier-coller pour ajouter d'autres profils.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Nom du rôle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Société(s) / service(s) concernés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Effectif estimé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r>
        <w:rPr>
          <w:b/>
          <w:bCs/>
          <w:sz w:val="20"/>
          <w:szCs w:val="20"/>
        </w:rPr>
        <w:t xml:space="preserve">Compétence numérique :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Faible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Moyenne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Élevée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r>
        <w:rPr>
          <w:b/>
          <w:bCs/>
          <w:sz w:val="20"/>
          <w:szCs w:val="20"/>
        </w:rPr>
        <w:t xml:space="preserve">Fréquence d'usage :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Quotidienne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Hebdomadaire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Mensuelle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Ponctuelle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Données accessibles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Données restreintes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414648"/>
          <w:sz w:val="24"/>
          <w:szCs w:val="24"/>
        </w:rPr>
        <w:t xml:space="preserve">2.3 Matrice des permissions</w:t>
      </w:r>
    </w:p>
    <w:p>
      <w:pPr>
        <w:spacing w:after="60" w:before="60"/>
      </w:pPr>
      <w:r>
        <w:rPr>
          <w:i/>
          <w:iCs/>
          <w:color w:val="666666"/>
          <w:sz w:val="18"/>
          <w:szCs w:val="18"/>
        </w:rPr>
        <w:t xml:space="preserve">Pour chaque action, indiquer le niveau d'accès de chaque profil. Codes : R = lecture, W = écriture/création, U = modification, D = suppression, A = admin/validation, – = aucun accès.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Profil 1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Profil 2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Profil 3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14648" w:sz="12" w:space="1"/>
        </w:pBdr>
        <w:shd w:fill="4DBEC8" w:val="clear"/>
        <w:spacing w:after="200" w:before="360"/>
      </w:pPr>
      <w:r>
        <w:rPr>
          <w:b/>
          <w:bCs/>
          <w:color w:val="FFFFFF"/>
          <w:sz w:val="28"/>
          <w:szCs w:val="28"/>
        </w:rPr>
        <w:t xml:space="preserve">3. Accès et sécurité</w:t>
      </w:r>
    </w:p>
    <w:p>
      <w:pPr>
        <w:pStyle w:val="Heading2"/>
        <w:spacing w:after="120" w:before="240"/>
      </w:pPr>
      <w:r>
        <w:rPr>
          <w:b/>
          <w:bCs/>
          <w:color w:val="414648"/>
          <w:sz w:val="24"/>
          <w:szCs w:val="24"/>
        </w:rPr>
        <w:t xml:space="preserve">3.1 Plateformes supportées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Web desktop (navigateur)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Web mobile (responsive)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Application mobile native iOS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Application mobile native Android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Mode hors-ligne nécessaire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Tablette terrain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414648"/>
          <w:sz w:val="24"/>
          <w:szCs w:val="24"/>
        </w:rPr>
        <w:t xml:space="preserve">3.2 Navigateurs cibles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Edge (par défaut KEON)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Chrome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Safari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Firefox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414648"/>
          <w:sz w:val="24"/>
          <w:szCs w:val="24"/>
        </w:rPr>
        <w:t xml:space="preserve">3.3 Authentification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SSO Microsoft Entra ID (Azure AD) — recommandé par défaut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Authentification locale (login / mot de passe)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Authentification par lien magique (email)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r>
        <w:rPr>
          <w:b/>
          <w:bCs/>
          <w:sz w:val="20"/>
          <w:szCs w:val="20"/>
        </w:rPr>
        <w:t xml:space="preserve">MFA imposé :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Oui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Non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414648"/>
          <w:sz w:val="24"/>
          <w:szCs w:val="24"/>
        </w:rPr>
        <w:t xml:space="preserve">3.4 Données sensibles manipulées</w:t>
      </w:r>
    </w:p>
    <w:p>
      <w:pPr>
        <w:spacing w:after="60" w:before="60"/>
      </w:pPr>
      <w:r>
        <w:rPr>
          <w:i/>
          <w:iCs/>
          <w:color w:val="666666"/>
          <w:sz w:val="18"/>
          <w:szCs w:val="18"/>
        </w:rPr>
        <w:t xml:space="preserve">Cocher tous les types de données sensibles que l'application manipulera.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Données personnelles (RGPD)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Données RH (salaires, contrats, absences, etc.)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Données financières / comptables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Données fournisseurs / contractuelles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Données techniques industrielles (méthanisation, supervision)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Aucune donnée sensible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414648"/>
          <w:sz w:val="24"/>
          <w:szCs w:val="24"/>
        </w:rPr>
        <w:t xml:space="preserve">3.5 Exigences de sécurité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Cloisonnement par société requis (oui/non)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Logs d'audit (qui a fait quoi, quand)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Oui / Non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Durée de rétention des logs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ex : 12 mois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Suppression / anonymisation à la demande (RGPD)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Oui / Non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14648" w:sz="12" w:space="1"/>
        </w:pBdr>
        <w:shd w:fill="4DBEC8" w:val="clear"/>
        <w:spacing w:after="200" w:before="360"/>
      </w:pPr>
      <w:r>
        <w:rPr>
          <w:b/>
          <w:bCs/>
          <w:color w:val="FFFFFF"/>
          <w:sz w:val="28"/>
          <w:szCs w:val="28"/>
        </w:rPr>
        <w:t xml:space="preserve">4. Sources de données et intégrations</w:t>
      </w:r>
    </w:p>
    <w:p>
      <w:pPr>
        <w:pStyle w:val="Heading2"/>
        <w:spacing w:after="120" w:before="240"/>
      </w:pPr>
      <w:r>
        <w:rPr>
          <w:b/>
          <w:bCs/>
          <w:color w:val="414648"/>
          <w:sz w:val="24"/>
          <w:szCs w:val="24"/>
        </w:rPr>
        <w:t xml:space="preserve">4.1 Sources de données en lecture</w:t>
      </w:r>
    </w:p>
    <w:p>
      <w:pPr>
        <w:spacing w:after="60" w:before="60"/>
      </w:pPr>
      <w:r>
        <w:rPr>
          <w:i/>
          <w:iCs/>
          <w:color w:val="666666"/>
          <w:sz w:val="18"/>
          <w:szCs w:val="18"/>
        </w:rPr>
        <w:t xml:space="preserve">Lister toutes les sources que l'application doit consulter. Suggestions de systèmes : Lucca, Divalto, Fabric Bronze/Silver/Gold, Supabase, SharePoint, QADRO, KIONECT, Lucanet, Power BI.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500"/>
        <w:gridCol w:w="1400"/>
        <w:gridCol w:w="1400"/>
        <w:gridCol w:w="1660"/>
      </w:tblGrid>
      <w:tr>
        <w:trPr>
          <w:tblHeader/>
        </w:trPr>
        <w:tc>
          <w:tcPr>
            <w:tcW w:type="dxa" w:w="17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7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Système / outil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 d'accès</w:t>
            </w:r>
          </w:p>
        </w:tc>
        <w:tc>
          <w:tcPr>
            <w:tcW w:type="dxa" w:w="14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14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Volumétrie</w:t>
            </w:r>
          </w:p>
        </w:tc>
        <w:tc>
          <w:tcPr>
            <w:tcW w:type="dxa" w:w="16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Référent</w:t>
            </w:r>
          </w:p>
        </w:tc>
      </w:tr>
      <w:tr>
        <w:tc>
          <w:tcPr>
            <w:tcW w:type="dxa" w:w="17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7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4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4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6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17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7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4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4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6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17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7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4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4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6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17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7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4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4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6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17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7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4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4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6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17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7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4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4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6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414648"/>
          <w:sz w:val="24"/>
          <w:szCs w:val="24"/>
        </w:rPr>
        <w:t xml:space="preserve">4.2 Données produites en écriture</w:t>
      </w:r>
    </w:p>
    <w:p>
      <w:pPr>
        <w:spacing w:after="60" w:before="60"/>
      </w:pPr>
      <w:r>
        <w:rPr>
          <w:i/>
          <w:iCs/>
          <w:color w:val="666666"/>
          <w:sz w:val="18"/>
          <w:szCs w:val="18"/>
        </w:rPr>
        <w:t xml:space="preserve">Données créées ou modifiées par l'application.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860"/>
        <w:gridCol w:w="2000"/>
      </w:tblGrid>
      <w:tr>
        <w:trPr>
          <w:tblHeader/>
        </w:trP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Donnée</w:t>
            </w:r>
          </w:p>
        </w:tc>
        <w:tc>
          <w:tcPr>
            <w:tcW w:type="dxa" w:w="2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8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Volumétrie attendue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2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8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2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2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8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2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2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8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2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2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8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2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414648"/>
          <w:sz w:val="24"/>
          <w:szCs w:val="24"/>
        </w:rPr>
        <w:t xml:space="preserve">4.3 Intégrations sortantes</w:t>
      </w:r>
    </w:p>
    <w:p>
      <w:pPr>
        <w:spacing w:after="60" w:before="60"/>
      </w:pPr>
      <w:r>
        <w:rPr>
          <w:i/>
          <w:iCs/>
          <w:color w:val="666666"/>
          <w:sz w:val="18"/>
          <w:szCs w:val="18"/>
        </w:rPr>
        <w:t xml:space="preserve">Cocher tous les systèmes vers lesquels l'application doit envoyer des données ou des événements.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Notifications Teams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Notifications Outlook / email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Power Automate (déclencheur ou cible)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SharePoint (dépôt de fichiers)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Microsoft Fabric (alimentation Bronze)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Power BI (rapport associé)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Lucanet (consolidation comptable)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Webhook personnalisé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Autre : </w:t>
      </w:r>
      <w:r>
        <w:rPr>
          <w:i/>
          <w:iCs/>
          <w:color w:val="9AA0A6"/>
          <w:sz w:val="20"/>
          <w:szCs w:val="20"/>
        </w:rPr>
        <w:t xml:space="preserve">[à compléter]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Précisions intégrations (canal Teams, site SharePoint, URL webhook, etc.)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14648" w:sz="12" w:space="1"/>
        </w:pBdr>
        <w:shd w:fill="4DBEC8" w:val="clear"/>
        <w:spacing w:after="200" w:before="360"/>
      </w:pPr>
      <w:r>
        <w:rPr>
          <w:b/>
          <w:bCs/>
          <w:color w:val="FFFFFF"/>
          <w:sz w:val="28"/>
          <w:szCs w:val="28"/>
        </w:rPr>
        <w:t xml:space="preserve">5. Modèle de données</w:t>
      </w:r>
    </w:p>
    <w:p>
      <w:pPr>
        <w:spacing w:after="60" w:before="60"/>
      </w:pPr>
      <w:r>
        <w:rPr>
          <w:i/>
          <w:iCs/>
          <w:color w:val="666666"/>
          <w:sz w:val="18"/>
          <w:szCs w:val="18"/>
        </w:rPr>
        <w:t xml:space="preserve">Décrire les entités principales (objets métier) et leurs relations. Cette section guidera la création des tables en base de données.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180"/>
      </w:pPr>
      <w:r>
        <w:rPr>
          <w:b/>
          <w:bCs/>
          <w:color w:val="4DBEC8"/>
          <w:sz w:val="22"/>
          <w:szCs w:val="22"/>
        </w:rPr>
        <w:t xml:space="preserve">Entité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Nom de l'entité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ex : Audit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1500"/>
        <w:gridCol w:w="3760"/>
      </w:tblGrid>
      <w:tr>
        <w:trPr>
          <w:tblHeader/>
        </w:trPr>
        <w:tc>
          <w:tcPr>
            <w:tcW w:type="dxa" w:w="23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8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37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contrainte</w:t>
            </w:r>
          </w:p>
        </w:tc>
      </w:tr>
      <w:tr>
        <w:tc>
          <w:tcPr>
            <w:tcW w:type="dxa" w:w="23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8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37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23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8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37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23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8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37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23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8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37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23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8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37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23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8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37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Relations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ex : 1 audit → N constats ; 1 audit → 1 site</w:t>
            </w:r>
          </w:p>
        </w:tc>
      </w:tr>
    </w:tbl>
    <w:p>
      <w:pPr>
        <w:spacing w:after="20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180"/>
      </w:pPr>
      <w:r>
        <w:rPr>
          <w:b/>
          <w:bCs/>
          <w:color w:val="4DBEC8"/>
          <w:sz w:val="22"/>
          <w:szCs w:val="22"/>
        </w:rPr>
        <w:t xml:space="preserve">Entité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Nom de l'entité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1500"/>
        <w:gridCol w:w="3760"/>
      </w:tblGrid>
      <w:tr>
        <w:trPr>
          <w:tblHeader/>
        </w:trPr>
        <w:tc>
          <w:tcPr>
            <w:tcW w:type="dxa" w:w="23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8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37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contrainte</w:t>
            </w:r>
          </w:p>
        </w:tc>
      </w:tr>
      <w:tr>
        <w:tc>
          <w:tcPr>
            <w:tcW w:type="dxa" w:w="23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8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37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23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8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37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23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8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37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23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8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37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23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8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37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23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8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37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Relations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</w:tbl>
    <w:p>
      <w:pPr>
        <w:spacing w:after="20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180"/>
      </w:pPr>
      <w:r>
        <w:rPr>
          <w:b/>
          <w:bCs/>
          <w:color w:val="4DBEC8"/>
          <w:sz w:val="22"/>
          <w:szCs w:val="22"/>
        </w:rPr>
        <w:t xml:space="preserve">Entité 3 (optionnel)</w:t>
      </w:r>
    </w:p>
    <w:p>
      <w:pPr>
        <w:spacing w:after="60" w:before="60"/>
      </w:pPr>
      <w:r>
        <w:rPr>
          <w:i/>
          <w:iCs/>
          <w:color w:val="666666"/>
          <w:sz w:val="18"/>
          <w:szCs w:val="18"/>
        </w:rPr>
        <w:t xml:space="preserve">Supprimer ce bloc si non applicable, ou copier-coller pour ajouter d'autres entités.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Nom de l'entité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1500"/>
        <w:gridCol w:w="3760"/>
      </w:tblGrid>
      <w:tr>
        <w:trPr>
          <w:tblHeader/>
        </w:trPr>
        <w:tc>
          <w:tcPr>
            <w:tcW w:type="dxa" w:w="23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8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37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contrainte</w:t>
            </w:r>
          </w:p>
        </w:tc>
      </w:tr>
      <w:tr>
        <w:tc>
          <w:tcPr>
            <w:tcW w:type="dxa" w:w="23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8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37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23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8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37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23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8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37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23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8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37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14648" w:sz="12" w:space="1"/>
        </w:pBdr>
        <w:shd w:fill="4DBEC8" w:val="clear"/>
        <w:spacing w:after="200" w:before="360"/>
      </w:pPr>
      <w:r>
        <w:rPr>
          <w:b/>
          <w:bCs/>
          <w:color w:val="FFFFFF"/>
          <w:sz w:val="28"/>
          <w:szCs w:val="28"/>
        </w:rPr>
        <w:t xml:space="preserve">6. Périmètre fonctionnel</w:t>
      </w:r>
    </w:p>
    <w:p>
      <w:pPr>
        <w:pStyle w:val="Heading2"/>
        <w:spacing w:after="120" w:before="240"/>
      </w:pPr>
      <w:r>
        <w:rPr>
          <w:b/>
          <w:bCs/>
          <w:color w:val="414648"/>
          <w:sz w:val="24"/>
          <w:szCs w:val="24"/>
        </w:rPr>
        <w:t xml:space="preserve">6.1 User stories</w:t>
      </w:r>
    </w:p>
    <w:p>
      <w:pPr>
        <w:spacing w:after="60" w:before="60"/>
      </w:pPr>
      <w:r>
        <w:rPr>
          <w:i/>
          <w:iCs/>
          <w:color w:val="666666"/>
          <w:sz w:val="18"/>
          <w:szCs w:val="18"/>
        </w:rPr>
        <w:t xml:space="preserve">Format : « En tant que [profil], je veux [action] afin de [bénéfice] ».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Story 1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ex : En tant qu'auditeur, je veux saisir un audit sur mobile afin de gagner du temps sur le terrain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Story 2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Story 3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Story 4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Story 5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Story 6 (optionnel)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 ou laisser vide]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Story 7 (optionnel)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 ou laisser vide]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414648"/>
          <w:sz w:val="24"/>
          <w:szCs w:val="24"/>
        </w:rPr>
        <w:t xml:space="preserve">6.2 Parcours utilisateur principal</w:t>
      </w:r>
    </w:p>
    <w:p>
      <w:pPr>
        <w:spacing w:after="60" w:before="60"/>
      </w:pPr>
      <w:r>
        <w:rPr>
          <w:i/>
          <w:iCs/>
          <w:color w:val="666666"/>
          <w:sz w:val="18"/>
          <w:szCs w:val="18"/>
        </w:rPr>
        <w:t xml:space="preserve">Décrire pas à pas le scénario nominal le plus fréquent.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[Étape 1 : … / Étape 2 : … / Étape 3 : …]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414648"/>
          <w:sz w:val="24"/>
          <w:szCs w:val="24"/>
        </w:rPr>
        <w:t xml:space="preserve">6.3 Fonctionnalités</w:t>
      </w:r>
    </w:p>
    <w:p>
      <w:pPr>
        <w:pStyle w:val="Heading3"/>
        <w:spacing w:after="100" w:before="180"/>
      </w:pPr>
      <w:r>
        <w:rPr>
          <w:b/>
          <w:bCs/>
          <w:color w:val="4DBEC8"/>
          <w:sz w:val="22"/>
          <w:szCs w:val="22"/>
        </w:rPr>
        <w:t xml:space="preserve">MVP — must-have (V1)</w:t>
      </w:r>
    </w:p>
    <w:p>
      <w:pPr>
        <w:spacing w:after="60" w:before="60"/>
      </w:pPr>
      <w:r>
        <w:rPr>
          <w:i/>
          <w:iCs/>
          <w:color w:val="666666"/>
          <w:sz w:val="18"/>
          <w:szCs w:val="18"/>
        </w:rPr>
        <w:t xml:space="preserve">Fonctionnalités indispensables pour la première version. À cocher ou compléter.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[Fonctionnalité 1] / [Fonctionnalité 2] / [Fonctionnalité 3] …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180"/>
      </w:pPr>
      <w:r>
        <w:rPr>
          <w:b/>
          <w:bCs/>
          <w:color w:val="4DBEC8"/>
          <w:sz w:val="22"/>
          <w:szCs w:val="22"/>
        </w:rPr>
        <w:t xml:space="preserve">V2 — should-have (post-MVP)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180"/>
      </w:pPr>
      <w:r>
        <w:rPr>
          <w:b/>
          <w:bCs/>
          <w:color w:val="4DBEC8"/>
          <w:sz w:val="22"/>
          <w:szCs w:val="22"/>
        </w:rPr>
        <w:t xml:space="preserve">Nice-to-have (à arbitrer)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180"/>
      </w:pPr>
      <w:r>
        <w:rPr>
          <w:b/>
          <w:bCs/>
          <w:color w:val="4DBEC8"/>
          <w:sz w:val="22"/>
          <w:szCs w:val="22"/>
        </w:rPr>
        <w:t xml:space="preserve">Hors périmètre (explicitement exclu)</w:t>
      </w:r>
    </w:p>
    <w:p>
      <w:pPr>
        <w:spacing w:after="60" w:before="60"/>
      </w:pPr>
      <w:r>
        <w:rPr>
          <w:i/>
          <w:iCs/>
          <w:color w:val="666666"/>
          <w:sz w:val="18"/>
          <w:szCs w:val="18"/>
        </w:rPr>
        <w:t xml:space="preserve">Important : lister ce que l'application ne fera PAS, pour éviter les malentendus.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414648"/>
          <w:sz w:val="24"/>
          <w:szCs w:val="24"/>
        </w:rPr>
        <w:t xml:space="preserve">6.4 Règles de gestion</w:t>
      </w:r>
    </w:p>
    <w:p>
      <w:pPr>
        <w:spacing w:after="60" w:before="60"/>
      </w:pPr>
      <w:r>
        <w:rPr>
          <w:i/>
          <w:iCs/>
          <w:color w:val="666666"/>
          <w:sz w:val="18"/>
          <w:szCs w:val="18"/>
        </w:rPr>
        <w:t xml:space="preserve">Logique métier critique, formulation conditionnelle (si … alors …).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Règle 1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ex : Si un audit a un constat de criticité majeure, alors notifier le QHSE par Teams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Règle 2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Règle 3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Règle 4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Règle 5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14648" w:sz="12" w:space="1"/>
        </w:pBdr>
        <w:shd w:fill="4DBEC8" w:val="clear"/>
        <w:spacing w:after="200" w:before="360"/>
      </w:pPr>
      <w:r>
        <w:rPr>
          <w:b/>
          <w:bCs/>
          <w:color w:val="FFFFFF"/>
          <w:sz w:val="28"/>
          <w:szCs w:val="28"/>
        </w:rPr>
        <w:t xml:space="preserve">7. UX / UI</w:t>
      </w:r>
    </w:p>
    <w:p>
      <w:pPr>
        <w:pStyle w:val="Heading2"/>
        <w:spacing w:after="120" w:before="240"/>
      </w:pPr>
      <w:r>
        <w:rPr>
          <w:b/>
          <w:bCs/>
          <w:color w:val="414648"/>
          <w:sz w:val="24"/>
          <w:szCs w:val="24"/>
        </w:rPr>
        <w:t xml:space="preserve">7.1 Charte graphique</w:t>
      </w:r>
    </w:p>
    <w:p>
      <w:pPr>
        <w:spacing w:after="60" w:before="60"/>
      </w:pPr>
      <w:r>
        <w:rPr>
          <w:i/>
          <w:iCs/>
          <w:color w:val="666666"/>
          <w:sz w:val="18"/>
          <w:szCs w:val="18"/>
        </w:rPr>
        <w:t xml:space="preserve">Charte KEON Group à appliquer par défaut, sauf demande contraire.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2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 hex</w:t>
            </w:r>
          </w:p>
        </w:tc>
        <w:tc>
          <w:tcPr>
            <w:tcW w:type="dxa" w:w="4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Aperçu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Couleur primaire (texte)</w:t>
            </w:r>
          </w:p>
        </w:tc>
        <w:tc>
          <w:tcPr>
            <w:tcW w:type="dxa" w:w="2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#414648</w:t>
            </w:r>
          </w:p>
        </w:tc>
        <w:tc>
          <w:tcPr>
            <w:tcW w:type="dxa" w:w="4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Couleur secondaire</w:t>
            </w:r>
          </w:p>
        </w:tc>
        <w:tc>
          <w:tcPr>
            <w:tcW w:type="dxa" w:w="2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#4DBEC8</w:t>
            </w:r>
          </w:p>
        </w:tc>
        <w:tc>
          <w:tcPr>
            <w:tcW w:type="dxa" w:w="4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DBEC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Accent / alerte</w:t>
            </w:r>
          </w:p>
        </w:tc>
        <w:tc>
          <w:tcPr>
            <w:tcW w:type="dxa" w:w="2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#FF9432</w:t>
            </w:r>
          </w:p>
        </w:tc>
        <w:tc>
          <w:tcPr>
            <w:tcW w:type="dxa" w:w="4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94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Validation / OK</w:t>
            </w:r>
          </w:p>
        </w:tc>
        <w:tc>
          <w:tcPr>
            <w:tcW w:type="dxa" w:w="2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#78C050</w:t>
            </w:r>
          </w:p>
        </w:tc>
        <w:tc>
          <w:tcPr>
            <w:tcW w:type="dxa" w:w="4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78C0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Police principale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Inter (par défaut) ou autre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Logo à fournir en annexe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Oui / Non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414648"/>
          <w:sz w:val="24"/>
          <w:szCs w:val="24"/>
        </w:rPr>
        <w:t xml:space="preserve">7.2 Langues supportées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Français (par défaut)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Anglais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Autre : </w:t>
      </w:r>
      <w:r>
        <w:rPr>
          <w:i/>
          <w:iCs/>
          <w:color w:val="9AA0A6"/>
          <w:sz w:val="20"/>
          <w:szCs w:val="20"/>
        </w:rPr>
        <w:t xml:space="preserve">[à compléter]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414648"/>
          <w:sz w:val="24"/>
          <w:szCs w:val="24"/>
        </w:rPr>
        <w:t xml:space="preserve">7.3 Maquettes / inspirations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Maquettes existantes (Oui / Non — joindre en annexe si oui)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Applications inspirantes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ex : style Notion, Linear, Power Apps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Captures de l'existant à remplacer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Oui / Non — joindre en annexe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414648"/>
          <w:sz w:val="24"/>
          <w:szCs w:val="24"/>
        </w:rPr>
        <w:t xml:space="preserve">7.4 Accessibilité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Contraste WCAG AA minimum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Navigation clavier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Compatibilité lecteur d'écran</w:t>
      </w:r>
    </w:p>
    <w:p>
      <w:r>
        <w:br w:type="page"/>
      </w:r>
    </w:p>
    <w:p>
      <w:pPr>
        <w:pStyle w:val="Heading1"/>
        <w:pBdr>
          <w:bottom w:val="single" w:color="414648" w:sz="12" w:space="1"/>
        </w:pBdr>
        <w:shd w:fill="4DBEC8" w:val="clear"/>
        <w:spacing w:after="200" w:before="360"/>
      </w:pPr>
      <w:r>
        <w:rPr>
          <w:b/>
          <w:bCs/>
          <w:color w:val="FFFFFF"/>
          <w:sz w:val="28"/>
          <w:szCs w:val="28"/>
        </w:rPr>
        <w:t xml:space="preserve">8. Contraintes non fonctionnelles</w:t>
      </w:r>
    </w:p>
    <w:p>
      <w:pPr>
        <w:pStyle w:val="Heading2"/>
        <w:spacing w:after="120" w:before="240"/>
      </w:pPr>
      <w:r>
        <w:rPr>
          <w:b/>
          <w:bCs/>
          <w:color w:val="414648"/>
          <w:sz w:val="24"/>
          <w:szCs w:val="24"/>
        </w:rPr>
        <w:t xml:space="preserve">8.1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Temps de chargement page max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ex : 2s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Temps de réponse action utilisateur max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ex : 500ms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414648"/>
          <w:sz w:val="24"/>
          <w:szCs w:val="24"/>
        </w:rPr>
        <w:t xml:space="preserve">8.2 Disponibilité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24 / 7 (production critique)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Heures ouvrées (8h–19h)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Best effort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RTO — temps de reprise après incident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ex : 4h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RPO — perte de données tolérée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ex : 1h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414648"/>
          <w:sz w:val="24"/>
          <w:szCs w:val="24"/>
        </w:rPr>
        <w:t xml:space="preserve">8.3 Sauvegarde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Fréquence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ex : quotidienne automatique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Rétention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ex : 30 jours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414648"/>
          <w:sz w:val="24"/>
          <w:szCs w:val="24"/>
        </w:rPr>
        <w:t xml:space="preserve">8.4 Conformité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RGPD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Hébergement UE imposé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Pas de transfert hors UE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Audit de sécurité requis avant mise en production</w:t>
      </w:r>
    </w:p>
    <w:p>
      <w:r>
        <w:br w:type="page"/>
      </w:r>
    </w:p>
    <w:p>
      <w:pPr>
        <w:pStyle w:val="Heading1"/>
        <w:pBdr>
          <w:bottom w:val="single" w:color="414648" w:sz="12" w:space="1"/>
        </w:pBdr>
        <w:shd w:fill="4DBEC8" w:val="clear"/>
        <w:spacing w:after="200" w:before="360"/>
      </w:pPr>
      <w:r>
        <w:rPr>
          <w:b/>
          <w:bCs/>
          <w:color w:val="FFFFFF"/>
          <w:sz w:val="28"/>
          <w:szCs w:val="28"/>
        </w:rPr>
        <w:t xml:space="preserve">9. Phases de livraison</w:t>
      </w:r>
    </w:p>
    <w:p>
      <w:pPr>
        <w:spacing w:after="60" w:before="60"/>
      </w:pPr>
      <w:r>
        <w:rPr>
          <w:i/>
          <w:iCs/>
          <w:color w:val="666666"/>
          <w:sz w:val="18"/>
          <w:szCs w:val="18"/>
        </w:rPr>
        <w:t xml:space="preserve">Compléter chaque phase avec son contenu et sa date cible.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1900"/>
        <w:gridCol w:w="1900"/>
      </w:tblGrid>
      <w:tr>
        <w:trPr>
          <w:tblHeader/>
        </w:trPr>
        <w:tc>
          <w:tcPr>
            <w:tcW w:type="dxa" w:w="22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19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 cible</w:t>
            </w:r>
          </w:p>
        </w:tc>
        <w:tc>
          <w:tcPr>
            <w:tcW w:type="dxa" w:w="19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Validateur</w:t>
            </w:r>
          </w:p>
        </w:tc>
      </w:tr>
      <w:tr>
        <w:tc>
          <w:tcPr>
            <w:tcW w:type="dxa" w:w="22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POC / maquette cliquable</w:t>
            </w:r>
          </w:p>
        </w:tc>
        <w:tc>
          <w:tcPr>
            <w:tcW w:type="dxa" w:w="3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9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JJ/MM/AAAA</w:t>
            </w:r>
          </w:p>
        </w:tc>
        <w:tc>
          <w:tcPr>
            <w:tcW w:type="dxa" w:w="19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Demandeur</w:t>
            </w:r>
          </w:p>
        </w:tc>
      </w:tr>
      <w:tr>
        <w:tc>
          <w:tcPr>
            <w:tcW w:type="dxa" w:w="22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MVP (V1)</w:t>
            </w:r>
          </w:p>
        </w:tc>
        <w:tc>
          <w:tcPr>
            <w:tcW w:type="dxa" w:w="3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Fonctionnalités must-have</w:t>
            </w:r>
          </w:p>
        </w:tc>
        <w:tc>
          <w:tcPr>
            <w:tcW w:type="dxa" w:w="19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JJ/MM/AAAA</w:t>
            </w:r>
          </w:p>
        </w:tc>
        <w:tc>
          <w:tcPr>
            <w:tcW w:type="dxa" w:w="19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Sponsor + IT</w:t>
            </w:r>
          </w:p>
        </w:tc>
      </w:tr>
      <w:tr>
        <w:tc>
          <w:tcPr>
            <w:tcW w:type="dxa" w:w="22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Tests utilisateurs</w:t>
            </w:r>
          </w:p>
        </w:tc>
        <w:tc>
          <w:tcPr>
            <w:tcW w:type="dxa" w:w="3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ex : 1 semaine, 5 utilisateurs</w:t>
            </w:r>
          </w:p>
        </w:tc>
        <w:tc>
          <w:tcPr>
            <w:tcW w:type="dxa" w:w="19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JJ/MM/AAAA</w:t>
            </w:r>
          </w:p>
        </w:tc>
        <w:tc>
          <w:tcPr>
            <w:tcW w:type="dxa" w:w="19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Demandeur</w:t>
            </w:r>
          </w:p>
        </w:tc>
      </w:tr>
      <w:tr>
        <w:tc>
          <w:tcPr>
            <w:tcW w:type="dxa" w:w="22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Mise en production</w:t>
            </w:r>
          </w:p>
        </w:tc>
        <w:tc>
          <w:tcPr>
            <w:tcW w:type="dxa" w:w="3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Déploiement + formation</w:t>
            </w:r>
          </w:p>
        </w:tc>
        <w:tc>
          <w:tcPr>
            <w:tcW w:type="dxa" w:w="19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JJ/MM/AAAA</w:t>
            </w:r>
          </w:p>
        </w:tc>
        <w:tc>
          <w:tcPr>
            <w:tcW w:type="dxa" w:w="19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IT</w:t>
            </w:r>
          </w:p>
        </w:tc>
      </w:tr>
      <w:tr>
        <w:tc>
          <w:tcPr>
            <w:tcW w:type="dxa" w:w="22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V2</w:t>
            </w:r>
          </w:p>
        </w:tc>
        <w:tc>
          <w:tcPr>
            <w:tcW w:type="dxa" w:w="3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Fonctionnalités should-have</w:t>
            </w:r>
          </w:p>
        </w:tc>
        <w:tc>
          <w:tcPr>
            <w:tcW w:type="dxa" w:w="19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JJ/MM/AAAA</w:t>
            </w:r>
          </w:p>
        </w:tc>
        <w:tc>
          <w:tcPr>
            <w:tcW w:type="dxa" w:w="19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Sponsor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414648"/>
          <w:sz w:val="24"/>
          <w:szCs w:val="24"/>
        </w:rPr>
        <w:t xml:space="preserve">9.1 Formation et conduite du changement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Public à former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r>
        <w:rPr>
          <w:b/>
          <w:bCs/>
          <w:sz w:val="20"/>
          <w:szCs w:val="20"/>
        </w:rPr>
        <w:t xml:space="preserve">Format souhaité :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Vidéo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Document PDF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Atelier en présentiel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Webinaire Teams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r>
        <w:rPr>
          <w:b/>
          <w:bCs/>
          <w:sz w:val="20"/>
          <w:szCs w:val="20"/>
        </w:rPr>
        <w:t xml:space="preserve">Documentation utilisateur :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Requise</w:t>
      </w:r>
    </w:p>
    <w:p>
      <w:pPr>
        <w:spacing w:after="60"/>
        <w:ind w:left="2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Non nécessaire</w:t>
      </w:r>
    </w:p>
    <w:p>
      <w:r>
        <w:br w:type="page"/>
      </w:r>
    </w:p>
    <w:p>
      <w:pPr>
        <w:pStyle w:val="Heading1"/>
        <w:pBdr>
          <w:bottom w:val="single" w:color="414648" w:sz="12" w:space="1"/>
        </w:pBdr>
        <w:shd w:fill="4DBEC8" w:val="clear"/>
        <w:spacing w:after="200" w:before="360"/>
      </w:pPr>
      <w:r>
        <w:rPr>
          <w:b/>
          <w:bCs/>
          <w:color w:val="FFFFFF"/>
          <w:sz w:val="28"/>
          <w:szCs w:val="28"/>
        </w:rPr>
        <w:t xml:space="preserve">10. Budget et ressources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Enveloppe estimée (si connue)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 ou « à chiffrer par IT »]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Coûts récurrents anticipés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ex : licences Supabase, Lovable, etc.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Référent métier (point de contact unique)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Prénom Nom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Email du référent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prenom.nom@keon-group.com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Téléphone du référent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ex : 06 XX XX XX XX</w:t>
            </w:r>
          </w:p>
        </w:tc>
      </w:tr>
      <w:tr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Disponibilité du référent pour itérations</w:t>
            </w:r>
          </w:p>
        </w:tc>
        <w:tc>
          <w:tcPr>
            <w:tcW w:type="dxa" w:w="63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ex : 2h/semaine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14648" w:sz="12" w:space="1"/>
        </w:pBdr>
        <w:shd w:fill="4DBEC8" w:val="clear"/>
        <w:spacing w:after="200" w:before="360"/>
      </w:pPr>
      <w:r>
        <w:rPr>
          <w:b/>
          <w:bCs/>
          <w:color w:val="FFFFFF"/>
          <w:sz w:val="28"/>
          <w:szCs w:val="28"/>
        </w:rPr>
        <w:t xml:space="preserve">11. Annexes</w:t>
      </w:r>
    </w:p>
    <w:p>
      <w:pPr>
        <w:spacing w:after="60" w:before="60"/>
      </w:pPr>
      <w:r>
        <w:rPr>
          <w:i/>
          <w:iCs/>
          <w:color w:val="666666"/>
          <w:sz w:val="18"/>
          <w:szCs w:val="18"/>
        </w:rPr>
        <w:t xml:space="preserve">Joindre tout document utile (maquettes, exports de données échantillons, processus actuel, logo, etc.). Lister ci-dessous le nom de chaque annexe transmise.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rPr>
          <w:tblHeader/>
        </w:trPr>
        <w:tc>
          <w:tcPr>
            <w:tcW w:type="dxa" w:w="8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 du fichier</w:t>
            </w:r>
          </w:p>
        </w:tc>
        <w:tc>
          <w:tcPr>
            <w:tcW w:type="dxa" w:w="50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3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50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8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3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50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8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3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50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8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3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50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8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3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50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8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35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50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[à compléter]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14648" w:sz="12" w:space="1"/>
        </w:pBdr>
        <w:shd w:fill="4DBEC8" w:val="clear"/>
        <w:spacing w:after="200" w:before="360"/>
      </w:pPr>
      <w:r>
        <w:rPr>
          <w:b/>
          <w:bCs/>
          <w:color w:val="FFFFFF"/>
          <w:sz w:val="28"/>
          <w:szCs w:val="28"/>
        </w:rPr>
        <w:t xml:space="preserve">12. Validation et signatures</w:t>
      </w:r>
    </w:p>
    <w:p>
      <w:pPr>
        <w:spacing w:after="60" w:before="60"/>
      </w:pPr>
      <w:r>
        <w:rPr>
          <w:i/>
          <w:iCs/>
          <w:color w:val="666666"/>
          <w:sz w:val="18"/>
          <w:szCs w:val="18"/>
        </w:rPr>
        <w:t xml:space="preserve">Une fois le document finalisé, faire valider par les parties prenantes. La signature peut être manuscrite (impression) ou électronique.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0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2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9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4146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Validé (☐ / ☒)</w:t>
            </w:r>
          </w:p>
        </w:tc>
      </w:tr>
      <w:tr>
        <w:tc>
          <w:tcPr>
            <w:tcW w:type="dxa" w:w="24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Demandeur</w:t>
            </w:r>
          </w:p>
        </w:tc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[Prénom Nom]</w:t>
            </w:r>
          </w:p>
        </w:tc>
        <w:tc>
          <w:tcPr>
            <w:tcW w:type="dxa" w:w="2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JJ/MM/AAAA</w:t>
            </w:r>
          </w:p>
        </w:tc>
        <w:tc>
          <w:tcPr>
            <w:tcW w:type="dxa" w:w="19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Sponsor métier</w:t>
            </w:r>
          </w:p>
        </w:tc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[Prénom Nom]</w:t>
            </w:r>
          </w:p>
        </w:tc>
        <w:tc>
          <w:tcPr>
            <w:tcW w:type="dxa" w:w="2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JJ/MM/AAAA</w:t>
            </w:r>
          </w:p>
        </w:tc>
        <w:tc>
          <w:tcPr>
            <w:tcW w:type="dxa" w:w="19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Responsable IT/Digital</w:t>
            </w:r>
          </w:p>
        </w:tc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Valentin (RSI KEON Group)</w:t>
            </w:r>
          </w:p>
        </w:tc>
        <w:tc>
          <w:tcPr>
            <w:tcW w:type="dxa" w:w="2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JJ/MM/AAAA</w:t>
            </w:r>
          </w:p>
        </w:tc>
        <w:tc>
          <w:tcPr>
            <w:tcW w:type="dxa" w:w="19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14648"/>
                <w:sz w:val="20"/>
                <w:szCs w:val="20"/>
              </w:rPr>
              <w:t xml:space="preserve">DPO (si données personnelles)</w:t>
            </w:r>
          </w:p>
        </w:tc>
        <w:tc>
          <w:tcPr>
            <w:tcW w:type="dxa" w:w="3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[Prénom Nom]</w:t>
            </w:r>
          </w:p>
        </w:tc>
        <w:tc>
          <w:tcPr>
            <w:tcW w:type="dxa" w:w="200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JJ/MM/AAAA</w:t>
            </w:r>
          </w:p>
        </w:tc>
        <w:tc>
          <w:tcPr>
            <w:tcW w:type="dxa" w:w="1960"/>
            <w:tcBorders>
              <w:top w:val="single" w:color="BFC4C7" w:sz="4"/>
              <w:left w:val="single" w:color="BFC4C7" w:sz="4"/>
              <w:bottom w:val="single" w:color="BFC4C7" w:sz="4"/>
              <w:right w:val="single" w:color="BFC4C7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9AA0A6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400" w:before="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— Fin du document —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414648"/>
        <w:sz w:val="18"/>
        <w:szCs w:val="18"/>
      </w:rPr>
      <w:t xml:space="preserve">KEON Group — IT / Digital</w:t>
    </w:r>
    <w:r>
      <w:rPr>
        <w:color w:val="CCCCCC"/>
        <w:sz w:val="18"/>
        <w:szCs w:val="18"/>
      </w:rPr>
      <w:t xml:space="preserve">  •  </w:t>
    </w:r>
    <w:r>
      <w:rPr>
        <w:i/>
        <w:iCs/>
        <w:color w:val="666666"/>
        <w:sz w:val="18"/>
        <w:szCs w:val="18"/>
      </w:rPr>
      <w:t xml:space="preserve">Cahier des charges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41464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4DBEC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EF677D670BB2419FA43814D38E94C6" ma:contentTypeVersion="11" ma:contentTypeDescription="Crée un document." ma:contentTypeScope="" ma:versionID="f561f94c1b8e46644735d1ce853ee2f9">
  <xsd:schema xmlns:xsd="http://www.w3.org/2001/XMLSchema" xmlns:xs="http://www.w3.org/2001/XMLSchema" xmlns:p="http://schemas.microsoft.com/office/2006/metadata/properties" xmlns:ns2="1f379aea-0a68-417f-a19d-f15dddeacdaa" xmlns:ns3="6d8edc88-d8be-473b-8f67-5bdf8d1e078a" targetNamespace="http://schemas.microsoft.com/office/2006/metadata/properties" ma:root="true" ma:fieldsID="4583b4248361d07d1c95068a57973815" ns2:_="" ns3:_="">
    <xsd:import namespace="1f379aea-0a68-417f-a19d-f15dddeacdaa"/>
    <xsd:import namespace="6d8edc88-d8be-473b-8f67-5bdf8d1e07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379aea-0a68-417f-a19d-f15dddeacd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4c0effd6-da17-4831-afea-f5e423d559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8edc88-d8be-473b-8f67-5bdf8d1e078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47a72f4-958e-4e26-862b-0add6a6ff580}" ma:internalName="TaxCatchAll" ma:showField="CatchAllData" ma:web="6d8edc88-d8be-473b-8f67-5bdf8d1e07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379aea-0a68-417f-a19d-f15dddeacdaa">
      <Terms xmlns="http://schemas.microsoft.com/office/infopath/2007/PartnerControls"/>
    </lcf76f155ced4ddcb4097134ff3c332f>
    <TaxCatchAll xmlns="6d8edc88-d8be-473b-8f67-5bdf8d1e078a" xsi:nil="true"/>
  </documentManagement>
</p:properties>
</file>

<file path=customXml/itemProps1.xml><?xml version="1.0" encoding="utf-8"?>
<ds:datastoreItem xmlns:ds="http://schemas.openxmlformats.org/officeDocument/2006/customXml" ds:itemID="{D51EC56B-E9FE-4632-AA31-7D809159D3BA}"/>
</file>

<file path=customXml/itemProps2.xml><?xml version="1.0" encoding="utf-8"?>
<ds:datastoreItem xmlns:ds="http://schemas.openxmlformats.org/officeDocument/2006/customXml" ds:itemID="{D1B998FA-70EF-4965-9B33-0380B45B2AF6}"/>
</file>

<file path=customXml/itemProps3.xml><?xml version="1.0" encoding="utf-8"?>
<ds:datastoreItem xmlns:ds="http://schemas.openxmlformats.org/officeDocument/2006/customXml" ds:itemID="{71E778E5-938E-4889-AEF7-816B986237B0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— Application interne</dc:title>
  <dc:creator>KEON Group — Service IT/Digital</dc:creator>
  <dc:description>Modèle de cahier des charges pour développement applicatif KEON Group</dc:description>
  <cp:lastModifiedBy>Un-named</cp:lastModifiedBy>
  <cp:revision>1</cp:revision>
  <dcterms:created xsi:type="dcterms:W3CDTF">2026-05-07T08:44:39Z</dcterms:created>
  <dcterms:modified xsi:type="dcterms:W3CDTF">2026-05-07T08:44:39Z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0x0101009BEF677D670BB2419FA43814D38E94C6</vt:lpwstr>
  </property>
</Properties>
</file>