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sz w:val="28"/>
        </w:rPr>
        <w:t>Отчёт по лабораторной работе №2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sz w:val="28"/>
        </w:rPr>
        <w:t>Паттерны проектирования в C++‑ИС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sz w:val="28"/>
        </w:rPr>
        <w:t>Проект: TaskFlow IS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1. Цель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Цель работы — расширить TaskFlow IS паттернами проектирования: Strategy для приоритизации, Factory для выбора хранилища, подготовка SQLite Adapter, а также индивидуальная реализация Observer для журнала событий.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2. Теоретическая связь с лекцией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Принципы SOLID требуют зависимости от абстракций. Strategy позволяет менять алгоритм сортировки без изменения TaskService. Factory изолирует создание инфраструктурных объектов. Adapter переводит API конкретной БД к интерфейсу ITaskRepository. Observer уведомляет подписчиков о доменных событиях.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3. Реализованные паттерны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Strategy: DefaultPriorityStrategy, ClosedLastPriorityStrategy и новая AssigneePriorityStrategy (задачи без исполнителя уходят в конец списка). Factory: функция make_repository(Config) создаёт memory или sqlite реализацию. Adapter: класс-заглушка SQLiteTaskRepository реализует ITaskRepository и сообщает, что полноценная БД будет подключена позже. Observer: TaskService::subscribe и EventJournal записывают событие TaskCreated.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4. UML (описание диаграммы)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На диаграмме классов показаны интерфейсы ITaskRepository и IPriorityStrategy, класс TaskService, зависящий от этих абстракций, реализации InMemoryTaskRepository и SQLiteTaskRepository, стратегии приоритета, фабрика make_repository и журнал EventJournal. Файл диаграммы: docs/uml_lab2.puml (PlantUML).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5. Индивидуальное задание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Выбран паттерн Observer. При создании задачи сервис вызывает всех подписчиков. EventJournal сохраняет события TaskCreated. Тест «observer writes TaskCreated to journal» проверяет запись события и корректный task_id.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6. Результаты тестирования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Добавлены проверки: фабрика создаёт sqlite-заглушку; неизвестный storage вызывает исключение; AssigneePriorityStrategy ставит пустого исполнителя в конец; Observer пишет в журнал; вызов create у sqlite-заглушки бросает исключение. Все тесты успешно проходят.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2.1 — Результаты тестов паттернов</w:t>
      </w:r>
    </w:p>
    <w:p>
      <w:pPr>
        <w:spacing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1420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tes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420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2.2 — Стратегия AssigneePriorityStrategy</w:t>
      </w:r>
    </w:p>
    <w:p>
      <w:pPr>
        <w:spacing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56371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strateg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637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2.3 — Factory make_repository</w:t>
      </w:r>
    </w:p>
    <w:p>
      <w:pPr>
        <w:spacing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29617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fac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61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2.4 — Observer и EventJournal</w:t>
      </w:r>
    </w:p>
    <w:p>
      <w:pPr>
        <w:spacing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59344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observ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934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7. Ответы на контрольные вопросы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Когда Strategy лучше switch? Когда алгоритмов несколько и они могут расширяться. Strategy позволяет добавить новый класс без правки большого switch внутри сервиса.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Почему Factory не должна разрастаться до God Object? Фабрика должна только создавать объекты по конфигурации. Бизнес-логика, валидация и UI не должны попадать внутрь неё.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Что проверяет тест Repository? Что операции create/find/update/list работают по контракту интерфейса независимо от конкретной реализации хранилища.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Как Adapter снижает зависимость от сторонней библиотеки? Код приложения зависит от ITaskRepository. Детали sqlite3 спрятаны внутри адаптера, поэтому библиотеку можно заменить, не меняя TaskService.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8. Выводы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Паттерны Strategy, Factory, Repository/Adapter и Observer применены на учебном уровне. Код остаётся простым для понимания, но уже показывает принципы SOLID.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1. C++ Core Guidelines. URL: https://isocpp.github.io/CppCoreGuidelines/CppCoreGuidelines (дата обращения: 12.10.2026).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2. CMake Tutorial. URL: https://cmake.org/cmake/help/latest/guide/tutorial/index.html (дата обращения: 12.10.2026).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3. GoogleTest Primer. URL: https://google.github.io/googletest/primer.html (дата обращения: 12.10.2026).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4. SQLite C/C++ Interface. URL: https://www.sqlite.org/cintro.html (дата обращения: 12.10.2026).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5. Docker C++ guide. URL: https://docs.docker.com/guides/cpp/ (дата обращения: 12.10.2026).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6. Grafana k6 documentation. URL: https://grafana.com/docs/k6/latest/ (дата обращения: 12.10.2026).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