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2937"/>
          <w:sz w:val="44"/>
          <w:szCs w:val="44"/>
        </w:rPr>
        <w:t xml:space="preserve">Evidence Parser Workflow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File Upload to Parser-Specific Output — Agent 1 (Evidence Intelligence)</w:t>
      </w:r>
    </w:p>
    <w:p>
      <w:pPr>
        <w:pStyle w:val="Heading1"/>
        <w:spacing w:after="150" w:before="300"/>
      </w:pPr>
      <w:r>
        <w:t xml:space="preserve">1. Purpose and Scope</w:t>
      </w:r>
    </w:p>
    <w:p>
      <w:pPr>
        <w:spacing w:after="120"/>
      </w:pPr>
      <w:r>
        <w:t xml:space="preserve">This document describes, stage by stage, how raw forensic evidence submitted by a user moves through the system until it becomes tool-specific parsed output, ready for normalization into the unified event schema used by the rest of the DFIR pipeline (Agents 2–7). It covers evidence-type detection, parser dispatch, execution per evidence category, and the raw output each parser produces.</w:t>
      </w:r>
    </w:p>
    <w:p>
      <w:pPr>
        <w:spacing w:after="120"/>
      </w:pPr>
      <w:r>
        <w:t xml:space="preserve">This workflow corresponds to Agent 1 (Evidence Intelligence) in the overall Forensic Intelligence Repository (FIR) architecture.</w:t>
      </w:r>
    </w:p>
    <w:p>
      <w:pPr>
        <w:pStyle w:val="Heading1"/>
        <w:spacing w:after="150" w:before="300"/>
      </w:pPr>
      <w:r>
        <w:t xml:space="preserve">2. High-Level Workflow</w:t>
      </w:r>
    </w:p>
    <w:p>
      <w:pPr>
        <w:spacing w:after="120"/>
      </w:pPr>
      <w:r>
        <w:t xml:space="preserve">The workflow has six sequential stages. Every piece of evidence — regardless of type — passes through all six stages before it becomes usable by downstream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 — user submits raw evidence through the application (memory dump, PCAP, EVTX, registry hive, browser profile, .eml file, disk image,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Type Detection — the system identifies what kind of evidence was uploaded, either from file extension, file signature (magic bytes), or explicit user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 Dispatch — based on the detected type, the correct forensic tool/parser is selected and invoked.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Parser Execution — the selected tool runs against the uploaded file and produces its own tool-specific raw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Output Capture — the parser's output (JSON, JSONL, EVE JSON, plain text, or TSV) is captured and stored temporarily for the next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Handoff to Normalization (FCR) — the raw, tool-specific output is passed to the Field/Format Conversion &amp; Reconciliation step, which maps it into the unified Event schema before chunking, embedding, and storage.</w:t>
      </w:r>
    </w:p>
    <w:p>
      <w:pPr>
        <w:spacing w:after="120"/>
      </w:pPr>
      <w:r>
        <w:t xml:space="preserve">Stages 1–5 are the subject of this document. Stage 6 (normalization) is covered separately, since each tool's mapping logic is distinct.</w:t>
      </w:r>
    </w:p>
    <w:p>
      <w:pPr>
        <w:pStyle w:val="Heading1"/>
        <w:spacing w:after="150" w:before="300"/>
      </w:pPr>
      <w:r>
        <w:t xml:space="preserve">3. Stage 1 — File Upload</w:t>
      </w:r>
    </w:p>
    <w:p>
      <w:pPr>
        <w:spacing w:after="120"/>
      </w:pPr>
      <w:r>
        <w:t xml:space="preserve">The user uploads one or more evidence files through the application interface. At upload time, the system records: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Case ID — which investigation this evidence belongs 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Original filename and file 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timestamp and uploading user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storage path/reference where the raw file is kept, separate from any parsed output</w:t>
      </w:r>
    </w:p>
    <w:p>
      <w:pPr>
        <w:spacing w:after="120"/>
      </w:pPr>
      <w:r>
        <w:t xml:space="preserve">The raw uploaded file is retained as-is (unmodified) so that the original evidence can always be re-parsed or independently verified later — this preserves forensic integrity of the source data.</w:t>
      </w:r>
    </w:p>
    <w:p>
      <w:pPr>
        <w:pStyle w:val="Heading1"/>
        <w:spacing w:after="150" w:before="300"/>
      </w:pPr>
      <w:r>
        <w:t xml:space="preserve">4. Stage 2 — Evidence Type Detection</w:t>
      </w:r>
    </w:p>
    <w:p>
      <w:pPr>
        <w:spacing w:after="120"/>
      </w:pPr>
      <w:r>
        <w:t xml:space="preserve">Before any parser can run, the system must determine what category of evidence was uploaded. Detection uses a combination of: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extension (e.g., .evtx, .pcap, .eml, .dd/.E01)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signature / magic bytes, for cases where the extension is missing or unreliable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Manual override — the user can explicitly select the evidence type if automatic detection is ambiguous (e.g., a raw memory image with no distinguishing extension)</w:t>
      </w:r>
    </w:p>
    <w:p>
      <w:pPr>
        <w:spacing w:after="120"/>
      </w:pPr>
      <w:r>
        <w:t xml:space="preserve">The detected type determines which entry in the Parser Dispatch table (Section 5) is used.</w:t>
      </w:r>
    </w:p>
    <w:p>
      <w:pPr>
        <w:pStyle w:val="Heading1"/>
        <w:spacing w:after="150" w:before="300"/>
      </w:pPr>
      <w:r>
        <w:t xml:space="preserve">5. Stage 3 — Parser Dispatch Table</w:t>
      </w:r>
    </w:p>
    <w:p>
      <w:pPr>
        <w:spacing w:after="120"/>
      </w:pPr>
      <w:r>
        <w:t xml:space="preserve">Each evidence type is mapped to exactly one designated parser/tool. This mapping is the core routing table for Agent 1: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900"/>
        <w:gridCol w:w="2900"/>
      </w:tblGrid>
      <w:tr>
        <w:tc>
          <w:tcPr>
            <w:tcW w:type="dxa" w:w="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2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Parser</w:t>
            </w:r>
          </w:p>
        </w:tc>
        <w:tc>
          <w:tcPr>
            <w:tcW w:type="dxa" w:w="2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Raw Output Format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Dump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Volatility 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/ JSONL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PCAP / Network Traffic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Zeek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(multiple log files)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Security / IDS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Suricata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 JSON (JSONL)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Event Logs (EVTX)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Hayabusa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/ JSONL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Registry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RegRipper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text (per plugin)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Artifacts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Hindsight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(.eml)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email library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objects (in-memory)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Artifacts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RegRipper + Registry artifacts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text / structured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System / Disk Image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Sleuth Kit (TSK)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/ TSV</w:t>
            </w:r>
          </w:p>
        </w:tc>
      </w:tr>
    </w:tbl>
    <w:p>
      <w:pPr>
        <w:pStyle w:val="Heading1"/>
        <w:spacing w:after="150" w:before="300"/>
      </w:pPr>
      <w:r>
        <w:t xml:space="preserve">6. Stage 4 — Parser Execution (per evidence type)</w:t>
      </w:r>
    </w:p>
    <w:p>
      <w:pPr>
        <w:spacing w:after="120"/>
      </w:pPr>
      <w:r>
        <w:t xml:space="preserve">This section describes what each parser does when executed, and the raw content it returns before normalization.</w:t>
      </w:r>
    </w:p>
    <w:p>
      <w:pPr>
        <w:pStyle w:val="Heading2"/>
        <w:spacing w:after="120" w:before="250"/>
      </w:pPr>
      <w:r>
        <w:t xml:space="preserve">6.1 Memory Dump → Volatility 3</w:t>
      </w:r>
    </w:p>
    <w:p>
      <w:pPr>
        <w:spacing w:after="120"/>
      </w:pPr>
      <w:r>
        <w:t xml:space="preserve">Volatility 3 runs one or more analysis plugins against the memory image. Each plugin targets a different aspect of memory: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pslist — running/terminated processes: name, PID, parent PID, thread count, create/exit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netscan — network connections held in memory: local/remote IP and port, owning process, connection 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dlllist / modules — loaded libraries per process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cmdline — command line used to launch each process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malware-indicator plugins — hidden or unlinked processes, code injection artifacts</w:t>
      </w:r>
    </w:p>
    <w:p>
      <w:pPr>
        <w:spacing w:after="120"/>
      </w:pPr>
      <w:r>
        <w:t xml:space="preserve">Each plugin produces its own JSON/JSONL result; a single memory dump is typically processed with several plugins in sequence.</w:t>
      </w:r>
    </w:p>
    <w:p>
      <w:pPr>
        <w:pStyle w:val="Heading2"/>
        <w:spacing w:after="120" w:before="250"/>
      </w:pPr>
      <w:r>
        <w:t xml:space="preserve">6.2 PCAP / Network Traffic → Zeek</w:t>
      </w:r>
    </w:p>
    <w:p>
      <w:pPr>
        <w:spacing w:after="120"/>
      </w:pPr>
      <w:r>
        <w:t xml:space="preserve">Zeek processes the packet capture and writes multiple protocol-specific log files, each in JSON: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conn.log — every network connection (source/destination IP and port, protocol, duration, bytes transferred)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dns.log — every DNS query and its response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http.log — HTTP requests: URL, method, user-agent, response code, host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files.log — files transferred over the network, with hashes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ssl.log — TLS/SSL handshake and certificate details</w:t>
      </w:r>
    </w:p>
    <w:p>
      <w:pPr>
        <w:spacing w:after="120"/>
      </w:pPr>
      <w:r>
        <w:t xml:space="preserve">Records across these files share a common uid field, allowing related entries (e.g., a DNS lookup and the connection it triggered) to be linked.</w:t>
      </w:r>
    </w:p>
    <w:p>
      <w:pPr>
        <w:pStyle w:val="Heading2"/>
        <w:spacing w:after="120" w:before="250"/>
      </w:pPr>
      <w:r>
        <w:t xml:space="preserve">6.3 Network Security / IDS → Suricata</w:t>
      </w:r>
    </w:p>
    <w:p>
      <w:pPr>
        <w:spacing w:after="120"/>
      </w:pPr>
      <w:r>
        <w:t xml:space="preserve">Suricata produces a single EVE JSON file (eve.json), a JSONL stream mixing several event types, distinguished by an event_type field: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 — signature name, severity, category, source/destination IP and 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flow — connection summary: bytes, packets, duration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 / dns / tls — protocol-level detail, similar to Zeek but from an IDS detection perspective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fileinfo — files observed in traffic, with hashes</w:t>
      </w:r>
    </w:p>
    <w:p>
      <w:pPr>
        <w:pStyle w:val="Heading2"/>
        <w:spacing w:after="120" w:before="250"/>
      </w:pPr>
      <w:r>
        <w:t xml:space="preserve">6.4 Windows Event Logs (EVTX) → Hayabusa</w:t>
      </w:r>
    </w:p>
    <w:p>
      <w:pPr>
        <w:spacing w:after="120"/>
      </w:pPr>
      <w:r>
        <w:t xml:space="preserve">Hayabusa parses .evtx files and outputs one record per event log entry, in JSON/JSONL: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 ID, timestamp, channel (Security, System, Application), computer name, level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human-readable 'Details' field generated by Hayabusa's interpretation of the raw event data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matched rule/detection name where the event matches a built-in Sigma detection rule</w:t>
      </w:r>
    </w:p>
    <w:p>
      <w:pPr>
        <w:spacing w:after="120"/>
      </w:pPr>
      <w:r>
        <w:t xml:space="preserve">This output aligns closely with the Windows Event Log schema already used in the paper's original knowledge base structure.</w:t>
      </w:r>
    </w:p>
    <w:p>
      <w:pPr>
        <w:pStyle w:val="Heading2"/>
        <w:spacing w:after="120" w:before="250"/>
      </w:pPr>
      <w:r>
        <w:t xml:space="preserve">6.5 Windows Registry → RegRipper</w:t>
      </w:r>
    </w:p>
    <w:p>
      <w:pPr>
        <w:spacing w:after="120"/>
      </w:pPr>
      <w:r>
        <w:t xml:space="preserve">RegRipper produces plain, human-readable report text, organized plugin by plugin against a supplied registry hive: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userassist — programs run by the user, run count, last-run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/ runmru — startup and autorun program entries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usbstor — USB devices connected historically, with serial numbers and first/last connection times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shimcache — evidence of historical program execution</w:t>
      </w:r>
    </w:p>
    <w:p>
      <w:pPr>
        <w:spacing w:after="120"/>
      </w:pPr>
      <w:r>
        <w:t xml:space="preserve">Because this output is unstructured text (headers and key-value lines per plugin), it requires explicit parsing logic during normalization rather than a direct JSON mapping.</w:t>
      </w:r>
    </w:p>
    <w:p>
      <w:pPr>
        <w:pStyle w:val="Heading2"/>
        <w:spacing w:after="120" w:before="250"/>
      </w:pPr>
      <w:r>
        <w:t xml:space="preserve">6.6 Browser Artifacts → Hindsight</w:t>
      </w:r>
    </w:p>
    <w:p>
      <w:pPr>
        <w:spacing w:after="120"/>
      </w:pPr>
      <w:r>
        <w:t xml:space="preserve">Hindsight outputs one JSON object per browser artifact record, in JSONL, each tagged with a type field: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Browsing history — URL, page title, visit time, visit count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Downloads — filename, source URL, download time, saved path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Cookies — domain, name, creation/expiry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Autofill data — saved form entries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Cache entries</w:t>
      </w:r>
    </w:p>
    <w:p>
      <w:pPr>
        <w:pStyle w:val="Heading2"/>
        <w:spacing w:after="120" w:before="250"/>
      </w:pPr>
      <w:r>
        <w:t xml:space="preserve">6.7 Email (.eml) → Python email library</w:t>
      </w:r>
    </w:p>
    <w:p>
      <w:pPr>
        <w:spacing w:after="120"/>
      </w:pPr>
      <w:r>
        <w:t xml:space="preserve">The .eml file is parsed in-memory using Python's built-in email library. The result is a Python object, not a file, containing: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Headers — From, To, Subject, Date, Reply-To, Message-ID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Body — plain text and/or HTML content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Attachments — filename, content-type, 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Raw header chain (Received, SPF/DKIM results where present) — useful for spoofing/phishing detection</w:t>
      </w:r>
    </w:p>
    <w:p>
      <w:pPr>
        <w:pStyle w:val="Heading2"/>
        <w:spacing w:after="120" w:before="250"/>
      </w:pPr>
      <w:r>
        <w:t xml:space="preserve">6.8 USB Artifacts → RegRipper + Windows Registry artifacts</w:t>
      </w:r>
    </w:p>
    <w:p>
      <w:pPr>
        <w:spacing w:after="120"/>
      </w:pPr>
      <w:r>
        <w:t xml:space="preserve">Uses the same RegRipper mechanism as Section 6.5, scoped to USB-relevant registry keys. Output is plain text/structured, covering: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Device description — manufacturer, product ID, serial number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First-connected and last-connected timestamps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Assigned drive letter and volume name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account logged in at time of connection</w:t>
      </w:r>
    </w:p>
    <w:p>
      <w:pPr>
        <w:pStyle w:val="Heading2"/>
        <w:spacing w:after="120" w:before="250"/>
      </w:pPr>
      <w:r>
        <w:t xml:space="preserve">6.9 File System / Disk Image → The Sleuth Kit (TSK)</w:t>
      </w:r>
    </w:p>
    <w:p>
      <w:pPr>
        <w:spacing w:after="120"/>
      </w:pPr>
      <w:r>
        <w:t xml:space="preserve">TSK's fls and mactime utilities produce tab-separated (TSV) output, one row per file system entry: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name and full path, inode number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MAC(B) timestamps — Modified, Accessed, Changed, (Birth/created)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size, file type (regular file, directory, etc.)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Deleted flag — whether the file was deleted but is still recoverable</w:t>
      </w:r>
    </w:p>
    <w:p>
      <w:pPr>
        <w:spacing w:after="120"/>
      </w:pPr>
      <w:r>
        <w:t xml:space="preserve">This produces a raw filesystem timeline used to reconstruct file creation, modification, and deletion activity.</w:t>
      </w:r>
    </w:p>
    <w:p>
      <w:pPr>
        <w:pStyle w:val="Heading1"/>
        <w:spacing w:after="150" w:before="300"/>
      </w:pPr>
      <w:r>
        <w:t xml:space="preserve">7. Stage 5 — Raw Output Capture</w:t>
      </w:r>
    </w:p>
    <w:p>
      <w:pPr>
        <w:spacing w:after="120"/>
      </w:pPr>
      <w:r>
        <w:t xml:space="preserve">Regardless of format, every parser's raw output is captured and staged before normalization. Three output categories exist at this point: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900"/>
      </w:tblGrid>
      <w:tr>
        <w:tc>
          <w:tcPr>
            <w:tcW w:type="dxa" w:w="2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category</w:t>
            </w:r>
          </w:p>
        </w:tc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 before normalization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JSON / JSONL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Zeek, Suricata, Hayabusa, Hindsight, Volatility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Field-mapped directly into the unified event schema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text (unstructured)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RegRipper (registry, USB)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custom text-parsing logic to extract key-value data per plugin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TSV / structured text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Sleuth Kit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column-based parsing into structured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In-memory objects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email library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Directly mapped from object attributes, no file parsing needed</w:t>
            </w:r>
          </w:p>
        </w:tc>
      </w:tr>
    </w:tbl>
    <w:p>
      <w:pPr>
        <w:spacing w:after="120"/>
      </w:pPr>
      <w:r>
        <w:t xml:space="preserve">Each raw output is tagged with: case ID, evidence type, source tool name, and the original uploaded file reference — this traceability is what later allows any generated report finding to be linked back to the exact original evidence file (chain of custody).</w:t>
      </w:r>
    </w:p>
    <w:p>
      <w:pPr>
        <w:pStyle w:val="Heading1"/>
        <w:spacing w:after="150" w:before="300"/>
      </w:pPr>
      <w:r>
        <w:t xml:space="preserve">8. Stage 6 — Handoff to Normalization (FCR)</w:t>
      </w:r>
    </w:p>
    <w:p>
      <w:pPr>
        <w:spacing w:after="120"/>
      </w:pPr>
      <w:r>
        <w:t xml:space="preserve">Once raw output is captured, it is handed to the Field/Format Conversion &amp; Reconciliation (FCR) step, which maps every tool's distinct output structure into one common Event schema: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 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Details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 and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Task Category</w:t>
      </w:r>
    </w:p>
    <w:p>
      <w:pPr>
        <w:spacing w:after="120"/>
      </w:pPr>
      <w:r>
        <w:t xml:space="preserve">This unified schema is what allows Agents 2 through 7 to operate identically regardless of which forensic tool or evidence type originally produced the data. The normalization logic itself (field-by-field mapping per tool) is documented separately, since each tool's raw structure requires its own mapping rules.</w:t>
      </w:r>
    </w:p>
    <w:p>
      <w:pPr>
        <w:pStyle w:val="Heading1"/>
        <w:spacing w:after="150" w:before="300"/>
      </w:pPr>
      <w:r>
        <w:t xml:space="preserve">9. Summary Diagram (Textual)</w:t>
      </w:r>
    </w:p>
    <w:p>
      <w:pPr>
        <w:spacing w:after="120"/>
      </w:pPr>
      <w:r>
        <w:t xml:space="preserve">Upload → Type Detection → Parser Dispatch → Parser Execution (tool-specific) → Raw Output Capture (JSON / JSONL / Text / TSV) → Normalization (FCR) → Unified Event Schema → Chunking → Embedding → Storage (PostgreSQL + pgvector)</w:t>
      </w:r>
    </w:p>
    <w:p>
      <w:pPr>
        <w:spacing w:after="120"/>
      </w:pPr>
      <w:r>
        <w:t xml:space="preserve">Everything to the left of 'Normalization' is evidence-type-specific and handled by Agent 1. Everything to the right is evidence-type-agnostic and shared by all downstream agents.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2026-08-18T09:57:12.443Z</dcterms:created>
  <dcterms:modified xsi:type="dcterms:W3CDTF">2026-08-18T09:57:12.458Z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