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Times New Roman" w:cs="Times New Roman" w:eastAsia="Times New Roman" w:hAnsi="Times New Roman"/>
          <w:b/>
          <w:bCs/>
          <w:sz w:val="32"/>
          <w:szCs w:val="32"/>
        </w:rPr>
        <w:t xml:space="preserve">LITERATURE REVIEW</w:t>
      </w:r>
    </w:p>
    <w:p>
      <w:pPr>
        <w:spacing w:after="240"/>
        <w:jc w:val="both"/>
      </w:pPr>
      <w:r>
        <w:rPr>
          <w:rFonts w:ascii="Times New Roman" w:cs="Times New Roman" w:eastAsia="Times New Roman" w:hAnsi="Times New Roman"/>
          <w:sz w:val="24"/>
          <w:szCs w:val="24"/>
        </w:rPr>
        <w:t xml:space="preserve">The increasing integration of renewable energy sources, such as solar and wind power, has created a need for efficient energy management and distribution systems. Traditional electricity distribution systems primarily deliver power from centralized generation units to consumers. However, the proliferation of distributed energy resources and fluctuations in electricity demand have complicated the task of maintaining a reliable balance between generation and consumption. Smart grids address this complexity by incorporating advanced monitoring, communication, and control technologies that improve the efficiency, reliability, and flexibility of electricity systems.</w:t>
      </w:r>
    </w:p>
    <w:p>
      <w:pPr>
        <w:spacing w:after="240"/>
        <w:jc w:val="both"/>
      </w:pPr>
      <w:r>
        <w:rPr>
          <w:rFonts w:ascii="Times New Roman" w:cs="Times New Roman" w:eastAsia="Times New Roman" w:hAnsi="Times New Roman"/>
          <w:sz w:val="24"/>
          <w:szCs w:val="24"/>
        </w:rPr>
        <w:t xml:space="preserve">Hirsch et al. [1] reviewed microgrid technologies, their applications, and the factors influencing their development. Their study highlighted the role of microgrids in improving power-system resilience, integrating renewable energy sources, and supplying electricity to areas with limited access to centralized infrastructure. These findings underscore the importance of coordinating distributed energy resources to meet local electricity requirements. Notably, such coordination also depends on energy management strategies that determine how available power should be allocated among different loads.</w:t>
      </w:r>
    </w:p>
    <w:p>
      <w:pPr>
        <w:spacing w:after="240"/>
        <w:jc w:val="both"/>
      </w:pPr>
      <w:r>
        <w:rPr>
          <w:rFonts w:ascii="Times New Roman" w:cs="Times New Roman" w:eastAsia="Times New Roman" w:hAnsi="Times New Roman"/>
          <w:sz w:val="24"/>
          <w:szCs w:val="24"/>
        </w:rPr>
        <w:t xml:space="preserve">Sharma et al. [2] presented a critical and comparative review of energy management strategies for microgrids, examining decision-making approaches, demand response, and methods for handling uncertainty in renewable generation and electrical loads. Their review emphasizes that variability in generation and demand introduces additional challenges into the optimization process, and that the choice of management strategy strongly influences the reliable and efficient utilization of distributed energy resources. These challenges become particularly acute when available electricity is insufficient to satisfy the demand of all connected consumers.</w:t>
      </w:r>
    </w:p>
    <w:p>
      <w:pPr>
        <w:spacing w:after="240"/>
        <w:jc w:val="both"/>
      </w:pPr>
      <w:r>
        <w:rPr>
          <w:rFonts w:ascii="Times New Roman" w:cs="Times New Roman" w:eastAsia="Times New Roman" w:hAnsi="Times New Roman"/>
          <w:sz w:val="24"/>
          <w:szCs w:val="24"/>
        </w:rPr>
        <w:t xml:space="preserve">In practical energy distribution, loads differ in their level of importance; hospitals and emergency facilities, for example, require a more reliable supply than most non-critical loads. Consequently, when generation is limited, an energy management system must account for both the available supply and the priority of each load. This gives rise to an optimization problem in which the allocation of electricity must satisfy supply constraints while minimizing shortages and giving greater weight to critical consumers.</w:t>
      </w:r>
    </w:p>
    <w:p>
      <w:pPr>
        <w:spacing w:after="240"/>
        <w:jc w:val="both"/>
      </w:pPr>
      <w:r>
        <w:rPr>
          <w:rFonts w:ascii="Times New Roman" w:cs="Times New Roman" w:eastAsia="Times New Roman" w:hAnsi="Times New Roman"/>
          <w:sz w:val="24"/>
          <w:szCs w:val="24"/>
        </w:rPr>
        <w:t xml:space="preserve">Building on these studies, this study develops a simplified smart-grid simulation in which power from sources such as solar, wind, and conventional generators is allocated among loads with different priorities. The simulation framework investigates mathematical optimization and quantum-optimization formulations as means of determining an efficient allocation of available power. Rather than controlling a physical electricity grid, it provides a simulation-based demonstration of energy allocation and decision-making.</w:t>
      </w:r>
    </w:p>
    <w:p>
      <w:pPr>
        <w:spacing w:after="240"/>
        <w:jc w:val="both"/>
      </w:pPr>
      <w:r>
        <w:rPr>
          <w:rFonts w:ascii="Times New Roman" w:cs="Times New Roman" w:eastAsia="Times New Roman" w:hAnsi="Times New Roman"/>
          <w:sz w:val="24"/>
          <w:szCs w:val="24"/>
        </w:rPr>
        <w:t xml:space="preserve">Conventional optimization techniques are widely used in energy management systems to allocate available power while satisfying operational constraints. These techniques formulate energy management as a mathematical problem comprising decision variables, an objective function, and a set of constraints. Depending on system requirements, the objective may involve minimizing operating costs, reducing unmet demand, improving energy utilization, or balancing several operational goals.</w:t>
      </w:r>
    </w:p>
    <w:p>
      <w:pPr>
        <w:spacing w:after="240"/>
        <w:jc w:val="both"/>
      </w:pPr>
      <w:r>
        <w:rPr>
          <w:rFonts w:ascii="Times New Roman" w:cs="Times New Roman" w:eastAsia="Times New Roman" w:hAnsi="Times New Roman"/>
          <w:sz w:val="24"/>
          <w:szCs w:val="24"/>
        </w:rPr>
        <w:t xml:space="preserve">Thirunavukkarasu et al. [3] reviewed optimization techniques for microgrid energy management systems, examining methods applied to forecasting, demand management, economic dispatch, and unit commitment. They identified mixed-integer programming as a widely used approach and also discussed multi-agent systems and metaheuristic algorithms for various energy management applications. Their findings indicate that the appropriate optimization technique depends on the specific problem, system structure, and operational requirements.</w:t>
      </w:r>
    </w:p>
    <w:p>
      <w:pPr>
        <w:spacing w:after="240"/>
        <w:jc w:val="both"/>
      </w:pPr>
      <w:r>
        <w:rPr>
          <w:rFonts w:ascii="Times New Roman" w:cs="Times New Roman" w:eastAsia="Times New Roman" w:hAnsi="Times New Roman"/>
          <w:sz w:val="24"/>
          <w:szCs w:val="24"/>
        </w:rPr>
        <w:t xml:space="preserve">Linear programming (LP) is a conventional method in which the objective function and constraints are expressed as linear relationships, and it can be used to determine an allocation that minimizes a defined cost or shortage measure subject to limits on available power and load demand. Mixed-integer linear programming (MILP) extends this approach by permitting some decision variables to take integer or binary values, which is useful when the problem involves discrete decisions, such as whether a generator should operate or whether a particular resource should be selected. Nonlinear programming is employed when the objective function or constraints contain nonlinear relationships, whereas metaheuristic algorithms search for good solutions to more complex problems for which exact methods are impractical.</w:t>
      </w:r>
    </w:p>
    <w:p>
      <w:pPr>
        <w:spacing w:after="240"/>
        <w:jc w:val="both"/>
      </w:pPr>
      <w:r>
        <w:rPr>
          <w:rFonts w:ascii="Times New Roman" w:cs="Times New Roman" w:eastAsia="Times New Roman" w:hAnsi="Times New Roman"/>
          <w:sz w:val="24"/>
          <w:szCs w:val="24"/>
        </w:rPr>
        <w:t xml:space="preserve">Within this study, conventional optimization provides the foundation for formulating the smart-grid energy distribution problem. The power allocated to each load is represented by a decision variable. The total allocation must not exceed the available power, and the power supplied to each load must remain within its demand limit. When supply is insufficient, shortages are penalized according to load priority; for instance, unmet demand at a hospital incurs a higher penalty than an equivalent shortage at a non-critical load. The objective function then minimizes the total weighted shortage subject to these supply constraints.</w:t>
      </w:r>
    </w:p>
    <w:p>
      <w:pPr>
        <w:spacing w:after="240"/>
        <w:jc w:val="both"/>
      </w:pPr>
      <w:r>
        <w:rPr>
          <w:rFonts w:ascii="Times New Roman" w:cs="Times New Roman" w:eastAsia="Times New Roman" w:hAnsi="Times New Roman"/>
          <w:sz w:val="24"/>
          <w:szCs w:val="24"/>
        </w:rPr>
        <w:t xml:space="preserve">Although conventional methods are well-established for energy management, their suitability depends on the mathematical formulation and the characteristics of the problem. They therefore serve as an essential reference point for investigating alternative approaches. In this study, the conventional formulation underpins the derivation of a QUBO-based representation, and the performance of the quantum-optimization approach is evaluated through simulation against a classical optimization baseline.</w:t>
      </w:r>
    </w:p>
    <w:p>
      <w:pPr>
        <w:spacing w:after="240"/>
        <w:jc w:val="both"/>
      </w:pPr>
      <w:r>
        <w:rPr>
          <w:rFonts w:ascii="Times New Roman" w:cs="Times New Roman" w:eastAsia="Times New Roman" w:hAnsi="Times New Roman"/>
          <w:sz w:val="24"/>
          <w:szCs w:val="24"/>
        </w:rPr>
        <w:t xml:space="preserve">Quadratic Unconstrained Binary Optimization (QUBO) is a formulation that represents discrete optimization problems in terms of binary decision variables. The objective is a quadratic function, that is, a sum of terms each involving either a single binary variable or the product of a pair of binary variables, and the aim is to identify the assignment of zeros and ones that yields the lowest value. The single-variable terms capture the contribution of individual decisions, while the pairwise terms capture interactions between decisions. Because a binary variable equals its own square, no separate squared terms are required.</w:t>
      </w:r>
    </w:p>
    <w:p>
      <w:pPr>
        <w:spacing w:after="240"/>
        <w:jc w:val="both"/>
      </w:pPr>
      <w:r>
        <w:rPr>
          <w:rFonts w:ascii="Times New Roman" w:cs="Times New Roman" w:eastAsia="Times New Roman" w:hAnsi="Times New Roman"/>
          <w:sz w:val="24"/>
          <w:szCs w:val="24"/>
        </w:rPr>
        <w:t xml:space="preserve">QUBO is relevant to quantum optimization because it can be converted into an Ising model. Substituting each binary variable with a spin variable taking the value −1 or +1, through a linear change of variables, yields an equivalent Ising model that differs from the QUBO only by a constant offset. This Ising form corresponds to a Hamiltonian whose lowest-energy state encodes the optimal solution, and it is the representation used by quantum annealing and by gate-based approaches such as the Quantum Approximate Optimization Algorithm (QAOA).</w:t>
      </w:r>
    </w:p>
    <w:p>
      <w:pPr>
        <w:spacing w:after="240"/>
        <w:jc w:val="both"/>
      </w:pPr>
      <w:r>
        <w:rPr>
          <w:rFonts w:ascii="Times New Roman" w:cs="Times New Roman" w:eastAsia="Times New Roman" w:hAnsi="Times New Roman"/>
          <w:sz w:val="24"/>
          <w:szCs w:val="24"/>
        </w:rPr>
        <w:t xml:space="preserve">Lucas [4] presented Ising formulations for many combinatorial optimization problems, demonstrating how discrete decision problems can be expressed as energy functions; these formulations are commonly adopted as the starting point for quantum annealing and QAOA-based approaches. Farhi, Goldstone, and Gutmann [5] subsequently proposed QAOA, a hybrid method in which a parameterized quantum circuit is tuned by a classical optimizer to obtain approximate solutions to combinatorial optimization problems expressed in this form.</w:t>
      </w:r>
    </w:p>
    <w:p>
      <w:pPr>
        <w:spacing w:after="240"/>
        <w:jc w:val="both"/>
      </w:pPr>
      <w:r>
        <w:rPr>
          <w:rFonts w:ascii="Times New Roman" w:cs="Times New Roman" w:eastAsia="Times New Roman" w:hAnsi="Times New Roman"/>
          <w:sz w:val="24"/>
          <w:szCs w:val="24"/>
        </w:rPr>
        <w:t xml:space="preserve">The formulation has also been explored in power-system applications. Koretsky et al. [6] adapted QAOA to the unit commitment problem, which determines which generators to operate, using a hybrid quantum–classical algorithm simulated in Qiskit. Reviews of quantum computing in power systems [7], [8] and of quantum computing for energy systems optimization [10] survey quantum algorithms, their applications in power-system optimization, and the practical limitations of current quantum devices. Chen and Vu [8], for instance, discuss the need for qubit-efficient encodings and error mitigation.</w:t>
      </w:r>
    </w:p>
    <w:p>
      <w:pPr>
        <w:spacing w:after="240"/>
        <w:jc w:val="both"/>
      </w:pPr>
      <w:r>
        <w:rPr>
          <w:rFonts w:ascii="Times New Roman" w:cs="Times New Roman" w:eastAsia="Times New Roman" w:hAnsi="Times New Roman"/>
          <w:sz w:val="24"/>
          <w:szCs w:val="24"/>
        </w:rPr>
        <w:t xml:space="preserve">Applying QUBO to smart-grid energy distribution requires that power-allocation decisions be expressed through binary variables. Because the original allocation problem involves continuous power values, the continuous quantities must first be discretized into power intervals of fixed size, with each interval represented by a binary variable indicating whether that interval is assigned to a given load. The objective function can then include penalty terms for unmet demand, weighted more heavily for critical loads such as hospitals.</w:t>
      </w:r>
    </w:p>
    <w:p>
      <w:pPr>
        <w:spacing w:after="240"/>
        <w:jc w:val="both"/>
      </w:pPr>
      <w:r>
        <w:rPr>
          <w:rFonts w:ascii="Times New Roman" w:cs="Times New Roman" w:eastAsia="Times New Roman" w:hAnsi="Times New Roman"/>
          <w:sz w:val="24"/>
          <w:szCs w:val="24"/>
        </w:rPr>
        <w:t xml:space="preserve">Constraints require separate treatment, since QUBO is unconstrained by definition. An equality constraint is incorporated by adding a penalty term equal to a penalty coefficient multiplied by the square of the difference between the total selected power and the target value, so that any deviation increases the objective. An inequality constraint, such as the requirement that total allocation not exceed available power, must first be converted into an equality through the introduction of a non-negative slack variable, which is itself represented by additional binary variables, and the resulting equality is then penalized in the same manner. Consequently, the quality of the resulting model depends on the discretization granularity, the choice of penalty coefficients, and the number of binary variables, which also determines the number of qubits required.</w:t>
      </w:r>
    </w:p>
    <w:p>
      <w:pPr>
        <w:spacing w:after="240"/>
        <w:jc w:val="both"/>
      </w:pPr>
      <w:r>
        <w:rPr>
          <w:rFonts w:ascii="Times New Roman" w:cs="Times New Roman" w:eastAsia="Times New Roman" w:hAnsi="Times New Roman"/>
          <w:sz w:val="24"/>
          <w:szCs w:val="24"/>
        </w:rPr>
        <w:t xml:space="preserve">In QAOA, the objective function is encoded as a cost Hamiltonian obtained from the Ising form described above. The circuit is initialized in an equal superposition of all binary configurations and then applies p alternating layers, each consisting of an operator derived from the cost Hamiltonian and a mixing operator that redistributes amplitude among configurations, with each layer governed by an adjustable angle. The circuit is measured, the expected cost is estimated from the measurement outcomes, and a classical optimizer updates the angles to reduce that expected cost. Farhi et al. [5] demonstrated the method on the Max-Cut problem, which provided a foundation for subsequent work on quantum approaches to discrete optimization. Increasing p can improve the approximation quality but also increases circuit depth, which is consequential on noisy hardware.</w:t>
      </w:r>
    </w:p>
    <w:p>
      <w:pPr>
        <w:spacing w:after="240"/>
        <w:jc w:val="both"/>
      </w:pPr>
      <w:r>
        <w:rPr>
          <w:rFonts w:ascii="Times New Roman" w:cs="Times New Roman" w:eastAsia="Times New Roman" w:hAnsi="Times New Roman"/>
          <w:sz w:val="24"/>
          <w:szCs w:val="24"/>
        </w:rPr>
        <w:t xml:space="preserve">QAOA has since been investigated for energy-system problems. Liu et al. [9] proposed a framework that formulates microgrid scheduling as a QUBO problem and solves it with QAOA, incorporating constraints such as energy balance, peak load, and cost, thereby illustrating how quantum optimization can be applied to the coordination of energy resources in decentralized systems. Blenninger et al. [12] summarized the Q-GRID project, which examined use cases for quantum optimization in decentralized energy grids and benchmarked quantum and hybrid algorithms against classical ones. They reported that quantum approaches may offer advantages on application-specific benchmarks or in hybrid solution quality, but that further investigation is required before quantum utility can be claimed.</w:t>
      </w:r>
    </w:p>
    <w:p>
      <w:pPr>
        <w:spacing w:after="240"/>
        <w:jc w:val="both"/>
      </w:pPr>
      <w:r>
        <w:rPr>
          <w:rFonts w:ascii="Times New Roman" w:cs="Times New Roman" w:eastAsia="Times New Roman" w:hAnsi="Times New Roman"/>
          <w:sz w:val="24"/>
          <w:szCs w:val="24"/>
        </w:rPr>
        <w:t xml:space="preserve">Notably, the evidence reviewed above does not establish that quantum methods consistently outperform classical ones, and the reported results should be interpreted as the findings of the respective authors. Koretsky et al. [6] found that classical solvers remained effective for simulated instances with fewer than 400 generating units, implying that any potential quantum advantage would require much larger systems. Furthermore, current devices are limited in qubit count and affected by noise [11], and classical simulation of a quantum circuit requires memory that doubles with each additional qubit. The performance of QAOA therefore depends on problem size, the chosen formulation, circuit depth, and the classical optimization procedure, and it cannot be assumed to exceed that of conventional methods, particularly for small problems that classical solvers handle efficiently. This underscores the need to evaluate quantum methods against classical baselines rather than presuming superiority.</w:t>
      </w:r>
    </w:p>
    <w:p>
      <w:pPr>
        <w:spacing w:after="240"/>
        <w:jc w:val="both"/>
      </w:pPr>
      <w:r>
        <w:rPr>
          <w:rFonts w:ascii="Times New Roman" w:cs="Times New Roman" w:eastAsia="Times New Roman" w:hAnsi="Times New Roman"/>
          <w:sz w:val="24"/>
          <w:szCs w:val="24"/>
        </w:rPr>
        <w:t xml:space="preserve">Accordingly, this simulation framework encodes the allocation problem in binary form using the QUBO formulation described above and evaluates it through quantum-circuit simulation on a classical computer. The memory constraint noted above restricts the number of binary variables, and hence the fineness of the power discretization, to a small scale. The resulting allocation is compared with a classical optimization baseline in terms of solution quality and computation time, and is examined to determine whether it yields feasible allocations that minimize shortages while prioritizing critical loads. Because the continuous formulation is a linear program that classical solvers can solve exactly, this comparison is intended to assess the quantum formulation as a demonstration of the approach and does not claim improved performance.</w:t>
      </w:r>
    </w:p>
    <w:p>
      <w:pPr>
        <w:spacing w:after="240"/>
        <w:jc w:val="both"/>
      </w:pPr>
      <w:r>
        <w:rPr>
          <w:rFonts w:ascii="Times New Roman" w:cs="Times New Roman" w:eastAsia="Times New Roman" w:hAnsi="Times New Roman"/>
          <w:sz w:val="24"/>
          <w:szCs w:val="24"/>
        </w:rPr>
        <w:t xml:space="preserve">The studies reviewed differ in their formulations and objectives, encompassing scheduling, costs, and energy trading. This study instead focuses on a simplified smart-grid simulation that distributes limited electricity among loads of differing priority, with the aim of reducing shortages for critical loads. By exploring a suitable QUBO formulation and quantum optimization through classical simulation, and by comparing the outcome with a classical baseline, it offers a focused demonstration of quantum optimization concepts in priority-based energy distribution.</w:t>
      </w:r>
    </w:p>
    <w:p>
      <w:pPr>
        <w:spacing w:after="240"/>
      </w:pPr>
      <w:r>
        <w:rPr>
          <w:rFonts w:ascii="Times New Roman" w:cs="Times New Roman" w:eastAsia="Times New Roman" w:hAnsi="Times New Roman"/>
          <w:b/>
          <w:bCs/>
          <w:sz w:val="32"/>
          <w:szCs w:val="32"/>
        </w:rPr>
        <w:t xml:space="preserve">REFERENCES</w:t>
      </w:r>
    </w:p>
    <w:p>
      <w:pPr>
        <w:spacing w:after="120"/>
      </w:pPr>
      <w:r>
        <w:rPr>
          <w:rFonts w:ascii="Times New Roman" w:cs="Times New Roman" w:eastAsia="Times New Roman" w:hAnsi="Times New Roman"/>
          <w:sz w:val="24"/>
          <w:szCs w:val="24"/>
        </w:rPr>
        <w:t xml:space="preserve">[1] A. Hirsch, Y. Parag, and J. Guerrero, “Microgrids: A review of technologies, key drivers, and outstanding issues,” Renewable and Sustainable Energy Reviews, vol. 90, pp. 402–411, 2018.</w:t>
      </w:r>
    </w:p>
    <w:p>
      <w:pPr>
        <w:spacing w:after="120"/>
      </w:pPr>
      <w:r>
        <w:rPr>
          <w:rFonts w:ascii="Times New Roman" w:cs="Times New Roman" w:eastAsia="Times New Roman" w:hAnsi="Times New Roman"/>
          <w:sz w:val="24"/>
          <w:szCs w:val="24"/>
        </w:rPr>
        <w:t xml:space="preserve">[2] P. Sharma, H. D. Mathur, P. Mishra, and R. C. Bansal, “A critical and comparative review of energy management strategies for microgrids,” Applied Energy, vol. 327, Art. no. 120028, 2022.</w:t>
      </w:r>
    </w:p>
    <w:p>
      <w:pPr>
        <w:spacing w:after="120"/>
      </w:pPr>
      <w:r>
        <w:rPr>
          <w:rFonts w:ascii="Times New Roman" w:cs="Times New Roman" w:eastAsia="Times New Roman" w:hAnsi="Times New Roman"/>
          <w:sz w:val="24"/>
          <w:szCs w:val="24"/>
        </w:rPr>
        <w:t xml:space="preserve">[3] G. S. Thirunavukkarasu et al., “Role of optimization techniques in microgrid energy management systems—A review,” Energy Strategy Reviews, vol. 43, Art. no. 100899, 2022.</w:t>
      </w:r>
    </w:p>
    <w:p>
      <w:pPr>
        <w:spacing w:after="120"/>
      </w:pPr>
      <w:r>
        <w:rPr>
          <w:rFonts w:ascii="Times New Roman" w:cs="Times New Roman" w:eastAsia="Times New Roman" w:hAnsi="Times New Roman"/>
          <w:sz w:val="24"/>
          <w:szCs w:val="24"/>
        </w:rPr>
        <w:t xml:space="preserve">[4] A. Lucas, “Ising formulations of many NP problems,” Frontiers in Physics, vol. 2, Art. no. 5, 2014.</w:t>
      </w:r>
    </w:p>
    <w:p>
      <w:pPr>
        <w:spacing w:after="120"/>
      </w:pPr>
      <w:r>
        <w:rPr>
          <w:rFonts w:ascii="Times New Roman" w:cs="Times New Roman" w:eastAsia="Times New Roman" w:hAnsi="Times New Roman"/>
          <w:sz w:val="24"/>
          <w:szCs w:val="24"/>
        </w:rPr>
        <w:t xml:space="preserve">[5] E. Farhi, J. Goldstone, and S. Gutmann, “A Quantum Approximate Optimization Algorithm,” arXiv:1411.4028, 2014.</w:t>
      </w:r>
    </w:p>
    <w:p>
      <w:pPr>
        <w:spacing w:after="120"/>
      </w:pPr>
      <w:r>
        <w:rPr>
          <w:rFonts w:ascii="Times New Roman" w:cs="Times New Roman" w:eastAsia="Times New Roman" w:hAnsi="Times New Roman"/>
          <w:sz w:val="24"/>
          <w:szCs w:val="24"/>
        </w:rPr>
        <w:t xml:space="preserve">[6] S. Koretsky et al., “Adapting quantum approximation optimization algorithm (QAOA) for unit commitment,” in Proc. IEEE Int. Conf. Quantum Computing and Engineering (QCE), 2021, doi: 10.1109/QCE52317.2021.00035.</w:t>
      </w:r>
    </w:p>
    <w:p>
      <w:pPr>
        <w:spacing w:after="120"/>
      </w:pPr>
      <w:r>
        <w:rPr>
          <w:rFonts w:ascii="Times New Roman" w:cs="Times New Roman" w:eastAsia="Times New Roman" w:hAnsi="Times New Roman"/>
          <w:sz w:val="24"/>
          <w:szCs w:val="24"/>
        </w:rPr>
        <w:t xml:space="preserve">[7] H. Liu and W. Tang, “Quantum computing for power systems: Tutorial, review, challenges, and prospects,” Electric Power Systems Research, vol. 223, Art. no. 109530, 2023.</w:t>
      </w:r>
    </w:p>
    <w:p>
      <w:pPr>
        <w:spacing w:after="120"/>
      </w:pPr>
      <w:r>
        <w:rPr>
          <w:rFonts w:ascii="Times New Roman" w:cs="Times New Roman" w:eastAsia="Times New Roman" w:hAnsi="Times New Roman"/>
          <w:sz w:val="24"/>
          <w:szCs w:val="24"/>
        </w:rPr>
        <w:t xml:space="preserve">[8] Y. Chen and T. L. Vu, “A review of quantum computing technologies in power system optimization,” Pacific Northwest National Laboratory, Richland, WA, USA, Jul. 2025.</w:t>
      </w:r>
    </w:p>
    <w:p>
      <w:pPr>
        <w:spacing w:after="120"/>
      </w:pPr>
      <w:r>
        <w:rPr>
          <w:rFonts w:ascii="Times New Roman" w:cs="Times New Roman" w:eastAsia="Times New Roman" w:hAnsi="Times New Roman"/>
          <w:sz w:val="24"/>
          <w:szCs w:val="24"/>
        </w:rPr>
        <w:t xml:space="preserve">[9] M. Liu, M. Liao, R. Zhang, X. Yuan, Z. Zhu, and Z. Wu, “Quantum computing as a catalyst for microgrid management: Enhancing decentralized energy systems through innovative computational techniques,” Sustainability, vol. 17, no. 8, Art. no. 3662, 2025.</w:t>
      </w:r>
    </w:p>
    <w:p>
      <w:pPr>
        <w:spacing w:after="120"/>
      </w:pPr>
      <w:r>
        <w:rPr>
          <w:rFonts w:ascii="Times New Roman" w:cs="Times New Roman" w:eastAsia="Times New Roman" w:hAnsi="Times New Roman"/>
          <w:sz w:val="24"/>
          <w:szCs w:val="24"/>
        </w:rPr>
        <w:t xml:space="preserve">[10] A. Ajagekar and F. You, “Quantum computing for energy systems optimization: Challenges and opportunities,” Energy, vol. 179, pp. 76–89, 2019.</w:t>
      </w:r>
    </w:p>
    <w:p>
      <w:pPr>
        <w:spacing w:after="120"/>
      </w:pPr>
      <w:r>
        <w:rPr>
          <w:rFonts w:ascii="Times New Roman" w:cs="Times New Roman" w:eastAsia="Times New Roman" w:hAnsi="Times New Roman"/>
          <w:sz w:val="24"/>
          <w:szCs w:val="24"/>
        </w:rPr>
        <w:t xml:space="preserve">[11] J. Preskill, “Quantum computing in the NISQ era and beyond,” Quantum, vol. 2, p. 79, 2018.</w:t>
      </w:r>
    </w:p>
    <w:p>
      <w:pPr>
        <w:spacing w:after="120"/>
      </w:pPr>
      <w:r>
        <w:rPr>
          <w:rFonts w:ascii="Times New Roman" w:cs="Times New Roman" w:eastAsia="Times New Roman" w:hAnsi="Times New Roman"/>
          <w:sz w:val="24"/>
          <w:szCs w:val="24"/>
        </w:rPr>
        <w:t xml:space="preserve">[12] J. Blenninger et al., “Quantum optimization for the future energy grid: Summary and quantum utility prospects,” arXiv:2403.17495,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2026-10-18T11:15:41.488Z</dcterms:created>
  <dcterms:modified xsi:type="dcterms:W3CDTF">2026-10-18T11:15:41.492Z</dcterms:modified>
</cp:coreProperties>
</file>

<file path=docProps/custom.xml><?xml version="1.0" encoding="utf-8"?>
<Properties xmlns="http://schemas.openxmlformats.org/officeDocument/2006/custom-properties" xmlns:vt="http://schemas.openxmlformats.org/officeDocument/2006/docPropsVTypes"/>
</file>