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1D851" w14:textId="77777777" w:rsidR="000322DC" w:rsidRDefault="00EB1941" w:rsidP="00EB1941">
      <w:pPr>
        <w:pStyle w:val="Title"/>
        <w:numPr>
          <w:ilvl w:val="0"/>
          <w:numId w:val="1"/>
        </w:numPr>
        <w:rPr>
          <w:b/>
          <w:bCs/>
          <w:sz w:val="32"/>
          <w:szCs w:val="32"/>
          <w:lang w:val="en-US"/>
        </w:rPr>
      </w:pPr>
      <w:r w:rsidRPr="000322DC">
        <w:rPr>
          <w:b/>
          <w:bCs/>
          <w:sz w:val="32"/>
          <w:szCs w:val="32"/>
          <w:lang w:val="en-US"/>
        </w:rPr>
        <w:t>INTRODUCTION</w:t>
      </w:r>
    </w:p>
    <w:p w14:paraId="0B5B3B7F" w14:textId="77777777" w:rsidR="000322DC" w:rsidRPr="000322DC" w:rsidRDefault="000322DC" w:rsidP="000322DC">
      <w:pPr>
        <w:rPr>
          <w:lang w:val="en-US"/>
        </w:rPr>
      </w:pPr>
    </w:p>
    <w:p w14:paraId="28712871" w14:textId="4DD1435B" w:rsidR="00EB1941" w:rsidRPr="000322DC" w:rsidRDefault="00EB1941" w:rsidP="000322DC">
      <w:pPr>
        <w:pStyle w:val="Title"/>
        <w:ind w:left="360"/>
        <w:rPr>
          <w:sz w:val="24"/>
          <w:szCs w:val="24"/>
          <w:lang w:val="en-US"/>
        </w:rPr>
      </w:pPr>
      <w:r w:rsidRPr="000322DC">
        <w:rPr>
          <w:rFonts w:ascii="Times Roman" w:eastAsiaTheme="minorHAnsi" w:hAnsi="Times Roman"/>
          <w:b/>
          <w:bCs/>
          <w:sz w:val="24"/>
          <w:szCs w:val="24"/>
        </w:rPr>
        <w:t>1.1 The Existing Classical Rural Power System</w:t>
      </w:r>
    </w:p>
    <w:p w14:paraId="50DD8D2B" w14:textId="77777777" w:rsidR="000322DC" w:rsidRPr="000322DC" w:rsidRDefault="000322DC" w:rsidP="000322DC">
      <w:pPr>
        <w:rPr>
          <w:rFonts w:ascii="Times Roman" w:hAnsi="Times Roman"/>
        </w:rPr>
      </w:pPr>
      <w:r w:rsidRPr="000322DC">
        <w:rPr>
          <w:rFonts w:ascii="Times Roman" w:hAnsi="Times Roman"/>
        </w:rPr>
        <w:t>Conventional power systems follow a centralized architecture. Large generating stations produce bulk power, which is stepped up for high-voltage transmission and then stepped down through substations for distribution to consumers [1]. In rural regions, this architecture is usually extended through long, radial distribution feeders. A radial feeder offers a single path from the substation to each load, so power flows in one direction only, and a fault at any point can interrupt supply to all downstream consumers.</w:t>
      </w:r>
    </w:p>
    <w:p w14:paraId="5E7D9AF0" w14:textId="77777777" w:rsidR="000322DC" w:rsidRPr="000322DC" w:rsidRDefault="000322DC" w:rsidP="000322DC">
      <w:pPr>
        <w:rPr>
          <w:rFonts w:ascii="Times Roman" w:hAnsi="Times Roman"/>
        </w:rPr>
      </w:pPr>
      <w:r w:rsidRPr="000322DC">
        <w:rPr>
          <w:rFonts w:ascii="Times Roman" w:hAnsi="Times Roman"/>
        </w:rPr>
        <w:t>Rural networks face particular constraints. Long distances between sparsely located loads increase resistive losses and cause voltage drops at the feeder end. Demand is also strongly time-dependent: daytime agricultural loads such as irrigation pumping are followed by a sharp residential peak in the evening [2]. When total demand exceeds the available supply during such peaks, the classical system has limited means of deciding who is served first. In practice, load shedding is often applied by manually switching off entire feeders, which treats all consumers on that feeder equally. A hospital, a water-pumping station, and a household may therefore be curtailed together, even though the consequences of losing power differ greatly among them.</w:t>
      </w:r>
    </w:p>
    <w:p w14:paraId="13ADCDBF" w14:textId="77777777" w:rsidR="000322DC" w:rsidRPr="000322DC" w:rsidRDefault="000322DC" w:rsidP="000322DC">
      <w:pPr>
        <w:rPr>
          <w:rFonts w:ascii="Times Roman" w:hAnsi="Times Roman"/>
        </w:rPr>
      </w:pPr>
      <w:r w:rsidRPr="000322DC">
        <w:rPr>
          <w:rFonts w:ascii="Times Roman" w:hAnsi="Times Roman"/>
        </w:rPr>
        <w:t>Classical power-system engineering addresses allocation and scheduling through well-established optimization problems, including economic dispatch, unit commitment, and optimal power flow (OPF) [1]. Priority can be incorporated into these formulations by assigning weights to loads, so that the objective function penalizes unserved critical demand more heavily than unserved ordinary demand. These problems are commonly solved with linear programming, mixed-integer programming, and metaheuristics such as particle swarm optimization [3]. However, deciding which loads to supply or shed at each time step introduces binary (on/off) decision variables. The number of possible combinations grows exponentially with the number of loads, and many such combinatorial formulations are NP-hard, so classical solvers cannot in general guarantee optimal solutions within a practical time as the network grows [4].</w:t>
      </w:r>
    </w:p>
    <w:p w14:paraId="0DBAC2B9" w14:textId="77777777" w:rsidR="000322DC" w:rsidRPr="000322DC" w:rsidRDefault="000322DC" w:rsidP="000322DC">
      <w:pPr>
        <w:rPr>
          <w:rFonts w:ascii="Times Roman" w:hAnsi="Times Roman"/>
          <w:b/>
          <w:bCs/>
        </w:rPr>
      </w:pPr>
      <w:r w:rsidRPr="000322DC">
        <w:rPr>
          <w:rFonts w:ascii="Times Roman" w:hAnsi="Times Roman"/>
          <w:b/>
          <w:bCs/>
        </w:rPr>
        <w:t>1.2 Smart Grids and Quantum Optimization</w:t>
      </w:r>
    </w:p>
    <w:p w14:paraId="50CCFEBC" w14:textId="77777777" w:rsidR="000322DC" w:rsidRPr="000322DC" w:rsidRDefault="000322DC" w:rsidP="000322DC">
      <w:pPr>
        <w:rPr>
          <w:rFonts w:ascii="Times Roman" w:hAnsi="Times Roman"/>
        </w:rPr>
      </w:pPr>
      <w:r w:rsidRPr="000322DC">
        <w:rPr>
          <w:rFonts w:ascii="Times Roman" w:hAnsi="Times Roman"/>
        </w:rPr>
        <w:t>A smart grid adds sensing, two-way communication, and distributed energy resources, such as solar generation and battery storage, to the classical infrastructure. This allows demand to be monitored and controlled at the level of individual consumers or feeders, and makes priority-based supply possible in principle. The resulting decision problem is a constrained, weighted combinatorial one: at each interval, select which loads to supply so that the total served priority is maximized without exceeding the available power.</w:t>
      </w:r>
    </w:p>
    <w:p w14:paraId="63554FBB" w14:textId="77777777" w:rsidR="000322DC" w:rsidRPr="000322DC" w:rsidRDefault="000322DC" w:rsidP="000322DC">
      <w:pPr>
        <w:rPr>
          <w:rFonts w:ascii="Times Roman" w:hAnsi="Times Roman"/>
        </w:rPr>
      </w:pPr>
      <w:r w:rsidRPr="000322DC">
        <w:rPr>
          <w:rFonts w:ascii="Times Roman" w:hAnsi="Times Roman"/>
        </w:rPr>
        <w:t xml:space="preserve">Problems of this form can be expressed as a quadratic unconstrained binary optimization (QUBO), or equivalently an Ising model, in which each load is represented by a binary variable and the priorities enter as weights in a cost function [5]. The QUBO can then be mapped onto the Hamiltonian of a quantum circuit. Variational quantum algorithms, such as </w:t>
      </w:r>
      <w:r w:rsidRPr="000322DC">
        <w:rPr>
          <w:rFonts w:ascii="Times Roman" w:hAnsi="Times Roman"/>
        </w:rPr>
        <w:lastRenderedPageBreak/>
        <w:t xml:space="preserve">the Quantum Approximate Optimization Algorithm (QAOA) and the Variational Quantum </w:t>
      </w:r>
      <w:proofErr w:type="spellStart"/>
      <w:r w:rsidRPr="000322DC">
        <w:rPr>
          <w:rFonts w:ascii="Times Roman" w:hAnsi="Times Roman"/>
        </w:rPr>
        <w:t>Eigensolver</w:t>
      </w:r>
      <w:proofErr w:type="spellEnd"/>
      <w:r w:rsidRPr="000322DC">
        <w:rPr>
          <w:rFonts w:ascii="Times Roman" w:hAnsi="Times Roman"/>
        </w:rPr>
        <w:t xml:space="preserve"> (VQE), prepare a parameterized quantum state and use a classical optimizer to tune the circuit parameters so that the expected energy, and hence the cost, is minimized [6], [7].</w:t>
      </w:r>
    </w:p>
    <w:p w14:paraId="5AE0A62D" w14:textId="77777777" w:rsidR="000322DC" w:rsidRDefault="000322DC" w:rsidP="000322DC">
      <w:pPr>
        <w:rPr>
          <w:rFonts w:ascii="Times Roman" w:hAnsi="Times Roman"/>
        </w:rPr>
      </w:pPr>
      <w:r w:rsidRPr="000322DC">
        <w:rPr>
          <w:rFonts w:ascii="Times Roman" w:hAnsi="Times Roman"/>
        </w:rPr>
        <w:t>This paper formulates priority-based power allocation in a rural smart grid as a QUBO and investigates its solution using quantum circuits, with the aim of enabling a computer to serve high-priority consumers, such as hospitals, first during periods of constrained supply.</w:t>
      </w:r>
    </w:p>
    <w:p w14:paraId="7621D4C1" w14:textId="77777777" w:rsidR="000322DC" w:rsidRPr="000322DC" w:rsidRDefault="000322DC" w:rsidP="000322DC">
      <w:pPr>
        <w:rPr>
          <w:rFonts w:ascii="Times Roman" w:hAnsi="Times Roman"/>
        </w:rPr>
      </w:pPr>
    </w:p>
    <w:p w14:paraId="258AF4AD" w14:textId="29D84284" w:rsidR="000322DC" w:rsidRPr="000322DC" w:rsidRDefault="000322DC" w:rsidP="000322DC">
      <w:pPr>
        <w:pStyle w:val="Title"/>
        <w:numPr>
          <w:ilvl w:val="0"/>
          <w:numId w:val="1"/>
        </w:numPr>
        <w:rPr>
          <w:b/>
          <w:bCs/>
          <w:sz w:val="32"/>
          <w:szCs w:val="32"/>
          <w:lang w:val="en-US"/>
        </w:rPr>
      </w:pPr>
      <w:r>
        <w:rPr>
          <w:b/>
          <w:bCs/>
          <w:sz w:val="32"/>
          <w:szCs w:val="32"/>
          <w:lang w:val="en-US"/>
        </w:rPr>
        <w:t>MOTIVATION</w:t>
      </w:r>
    </w:p>
    <w:p w14:paraId="6D7B1A04" w14:textId="77777777" w:rsidR="000322DC" w:rsidRPr="000322DC" w:rsidRDefault="000322DC" w:rsidP="000322DC">
      <w:pPr>
        <w:rPr>
          <w:rFonts w:ascii="Times Roman" w:hAnsi="Times Roman"/>
        </w:rPr>
      </w:pPr>
      <w:r w:rsidRPr="000322DC">
        <w:rPr>
          <w:rFonts w:ascii="Times Roman" w:hAnsi="Times Roman"/>
        </w:rPr>
        <w:t>Reliable electricity is essential for rural healthcare, education, water supply, and livelihoods, yet rural grids often suffer from frequent outages and insufficient capacity during peak hours [2]. The consequences of an outage are not uniform. Loss of supply to a household is an inconvenience, whereas loss of supply to a hospital, for example during the evening when household demand is also at its highest, can endanger lives. A power allocation scheme should therefore distinguish between consumers according to the criticality of their load, rather than treating all demand equally.</w:t>
      </w:r>
    </w:p>
    <w:p w14:paraId="26A1EDFC" w14:textId="77777777" w:rsidR="000322DC" w:rsidRPr="000322DC" w:rsidRDefault="000322DC" w:rsidP="000322DC">
      <w:pPr>
        <w:rPr>
          <w:rFonts w:ascii="Times Roman" w:hAnsi="Times Roman"/>
        </w:rPr>
      </w:pPr>
      <w:r w:rsidRPr="000322DC">
        <w:rPr>
          <w:rFonts w:ascii="Times Roman" w:hAnsi="Times Roman"/>
        </w:rPr>
        <w:t>Three factors motivate this work. First, rural supply shortfalls are most severe at peak demand, which is precisely when the competition between critical and non-critical loads is strongest. Second, selecting the best set of loads to supply is a combinatorial problem that becomes difficult for classical solvers as the number of loads and time intervals increases [4]. Third, quantum algorithms offer a natural way to encode such binary selection problems, and their suitability for power-system applications is an active area of research [5], [6].</w:t>
      </w:r>
    </w:p>
    <w:p w14:paraId="2D33B0FE" w14:textId="1B0919B3" w:rsidR="000322DC" w:rsidRPr="000322DC" w:rsidRDefault="000322DC" w:rsidP="000322DC">
      <w:pPr>
        <w:rPr>
          <w:rFonts w:ascii="Times Roman" w:hAnsi="Times Roman"/>
        </w:rPr>
      </w:pPr>
      <w:r>
        <w:rPr>
          <w:rFonts w:ascii="Times Roman" w:hAnsi="Times Roman"/>
        </w:rPr>
        <w:t>It is important to state the scope of this study</w:t>
      </w:r>
      <w:r w:rsidRPr="000322DC">
        <w:rPr>
          <w:rFonts w:ascii="Times Roman" w:hAnsi="Times Roman"/>
        </w:rPr>
        <w:t>. Present quantum devices belong to the noisy intermediate-scale quantum (NISQ) era, with a limited number of qubits and significant noise, and a practical quantum advantage for power-system optimization has not yet been demonstrated [8]. This work therefore does not claim to outperform classical methods. Its objective is to formulate the priority-based allocation problem in a form suitable for quantum circuits, to simulate its solution, and to assess its feasibility and limitations in comparison with classical benchmarks.</w:t>
      </w:r>
    </w:p>
    <w:p w14:paraId="3319CEF3" w14:textId="523143EE" w:rsidR="000322DC" w:rsidRDefault="000322DC" w:rsidP="000322DC">
      <w:pPr>
        <w:rPr>
          <w:rFonts w:ascii="Times Roman" w:hAnsi="Times Roman"/>
        </w:rPr>
      </w:pPr>
    </w:p>
    <w:p w14:paraId="11F69BD9" w14:textId="77777777" w:rsidR="000322DC" w:rsidRDefault="000322DC" w:rsidP="000322DC">
      <w:pPr>
        <w:rPr>
          <w:rFonts w:ascii="Times Roman" w:hAnsi="Times Roman"/>
        </w:rPr>
      </w:pPr>
    </w:p>
    <w:p w14:paraId="027A0124" w14:textId="77777777" w:rsidR="000322DC" w:rsidRDefault="000322DC" w:rsidP="000322DC">
      <w:pPr>
        <w:rPr>
          <w:rFonts w:ascii="Times Roman" w:hAnsi="Times Roman"/>
        </w:rPr>
      </w:pPr>
    </w:p>
    <w:p w14:paraId="62E3C4BC" w14:textId="77777777" w:rsidR="000322DC" w:rsidRDefault="000322DC" w:rsidP="000322DC">
      <w:pPr>
        <w:rPr>
          <w:rFonts w:ascii="Times Roman" w:hAnsi="Times Roman"/>
        </w:rPr>
      </w:pPr>
    </w:p>
    <w:p w14:paraId="5160B7E5" w14:textId="77777777" w:rsidR="000322DC" w:rsidRDefault="000322DC" w:rsidP="000322DC">
      <w:pPr>
        <w:rPr>
          <w:rFonts w:ascii="Times Roman" w:hAnsi="Times Roman"/>
        </w:rPr>
      </w:pPr>
    </w:p>
    <w:p w14:paraId="18B42212" w14:textId="77777777" w:rsidR="000322DC" w:rsidRDefault="000322DC" w:rsidP="000322DC">
      <w:pPr>
        <w:rPr>
          <w:rFonts w:ascii="Times Roman" w:hAnsi="Times Roman"/>
        </w:rPr>
      </w:pPr>
    </w:p>
    <w:p w14:paraId="5315B620" w14:textId="77777777" w:rsidR="000322DC" w:rsidRPr="000322DC" w:rsidRDefault="000322DC" w:rsidP="000322DC">
      <w:pPr>
        <w:rPr>
          <w:rFonts w:ascii="Times Roman" w:hAnsi="Times Roman"/>
        </w:rPr>
      </w:pPr>
    </w:p>
    <w:p w14:paraId="303C594E" w14:textId="536FC48A" w:rsidR="000322DC" w:rsidRDefault="000322DC" w:rsidP="000322DC">
      <w:pPr>
        <w:rPr>
          <w:rFonts w:ascii="Times Roman" w:hAnsi="Times Roman"/>
        </w:rPr>
      </w:pPr>
      <w:r>
        <w:rPr>
          <w:b/>
          <w:bCs/>
          <w:sz w:val="32"/>
          <w:szCs w:val="32"/>
          <w:lang w:val="en-US"/>
        </w:rPr>
        <w:lastRenderedPageBreak/>
        <w:t>REFERENCES</w:t>
      </w:r>
    </w:p>
    <w:p w14:paraId="28CF94F0" w14:textId="451420D5" w:rsidR="000322DC" w:rsidRPr="000322DC" w:rsidRDefault="000322DC" w:rsidP="000322DC">
      <w:pPr>
        <w:rPr>
          <w:rFonts w:ascii="Times Roman" w:hAnsi="Times Roman"/>
        </w:rPr>
      </w:pPr>
      <w:r w:rsidRPr="000322DC">
        <w:rPr>
          <w:rFonts w:ascii="Times Roman" w:hAnsi="Times Roman"/>
        </w:rPr>
        <w:t xml:space="preserve">[1] A. J. Wood, B. F. Wollenberg, and G. B. </w:t>
      </w:r>
      <w:proofErr w:type="spellStart"/>
      <w:r w:rsidRPr="000322DC">
        <w:rPr>
          <w:rFonts w:ascii="Times Roman" w:hAnsi="Times Roman"/>
        </w:rPr>
        <w:t>Sheblé</w:t>
      </w:r>
      <w:proofErr w:type="spellEnd"/>
      <w:r w:rsidRPr="000322DC">
        <w:rPr>
          <w:rFonts w:ascii="Times Roman" w:hAnsi="Times Roman"/>
        </w:rPr>
        <w:t xml:space="preserve">, </w:t>
      </w:r>
      <w:r w:rsidRPr="000322DC">
        <w:rPr>
          <w:rFonts w:ascii="Times Roman" w:hAnsi="Times Roman"/>
          <w:i/>
          <w:iCs/>
        </w:rPr>
        <w:t>Power Generation, Operation, and Control</w:t>
      </w:r>
      <w:r w:rsidRPr="000322DC">
        <w:rPr>
          <w:rFonts w:ascii="Times Roman" w:hAnsi="Times Roman"/>
        </w:rPr>
        <w:t>, 3rd ed. Hoboken, NJ, USA: Wiley, 2013.</w:t>
      </w:r>
    </w:p>
    <w:p w14:paraId="3E9177F5" w14:textId="77777777" w:rsidR="000322DC" w:rsidRPr="000322DC" w:rsidRDefault="000322DC" w:rsidP="000322DC">
      <w:pPr>
        <w:rPr>
          <w:rFonts w:ascii="Times Roman" w:hAnsi="Times Roman"/>
        </w:rPr>
      </w:pPr>
      <w:r w:rsidRPr="000322DC">
        <w:rPr>
          <w:rFonts w:ascii="Times Roman" w:hAnsi="Times Roman"/>
        </w:rPr>
        <w:t xml:space="preserve">[2] Energy Sector Management Assistance Program (ESMAP), </w:t>
      </w:r>
      <w:r w:rsidRPr="000322DC">
        <w:rPr>
          <w:rFonts w:ascii="Times Roman" w:hAnsi="Times Roman"/>
          <w:i/>
          <w:iCs/>
        </w:rPr>
        <w:t>Mini Grids for Half a Billion People: Market Outlook and Handbook for Decision Makers</w:t>
      </w:r>
      <w:r w:rsidRPr="000322DC">
        <w:rPr>
          <w:rFonts w:ascii="Times Roman" w:hAnsi="Times Roman"/>
        </w:rPr>
        <w:t>. Washington, DC, USA: World Bank, 2019.</w:t>
      </w:r>
    </w:p>
    <w:p w14:paraId="6DB3BFC7" w14:textId="77777777" w:rsidR="000322DC" w:rsidRPr="000322DC" w:rsidRDefault="000322DC" w:rsidP="000322DC">
      <w:pPr>
        <w:rPr>
          <w:rFonts w:ascii="Times Roman" w:hAnsi="Times Roman"/>
        </w:rPr>
      </w:pPr>
      <w:r w:rsidRPr="000322DC">
        <w:rPr>
          <w:rFonts w:ascii="Times Roman" w:hAnsi="Times Roman"/>
        </w:rPr>
        <w:t xml:space="preserve">[3] M. R. </w:t>
      </w:r>
      <w:proofErr w:type="spellStart"/>
      <w:r w:rsidRPr="000322DC">
        <w:rPr>
          <w:rFonts w:ascii="Times Roman" w:hAnsi="Times Roman"/>
        </w:rPr>
        <w:t>AlRashidi</w:t>
      </w:r>
      <w:proofErr w:type="spellEnd"/>
      <w:r w:rsidRPr="000322DC">
        <w:rPr>
          <w:rFonts w:ascii="Times Roman" w:hAnsi="Times Roman"/>
        </w:rPr>
        <w:t xml:space="preserve"> and M. E. El-</w:t>
      </w:r>
      <w:proofErr w:type="spellStart"/>
      <w:r w:rsidRPr="000322DC">
        <w:rPr>
          <w:rFonts w:ascii="Times Roman" w:hAnsi="Times Roman"/>
        </w:rPr>
        <w:t>Hawary</w:t>
      </w:r>
      <w:proofErr w:type="spellEnd"/>
      <w:r w:rsidRPr="000322DC">
        <w:rPr>
          <w:rFonts w:ascii="Times Roman" w:hAnsi="Times Roman"/>
        </w:rPr>
        <w:t xml:space="preserve">, “A survey of particle swarm optimization applications in electric power systems,” </w:t>
      </w:r>
      <w:r w:rsidRPr="000322DC">
        <w:rPr>
          <w:rFonts w:ascii="Times Roman" w:hAnsi="Times Roman"/>
          <w:i/>
          <w:iCs/>
        </w:rPr>
        <w:t xml:space="preserve">IEEE Trans. Evol. </w:t>
      </w:r>
      <w:proofErr w:type="spellStart"/>
      <w:r w:rsidRPr="000322DC">
        <w:rPr>
          <w:rFonts w:ascii="Times Roman" w:hAnsi="Times Roman"/>
          <w:i/>
          <w:iCs/>
        </w:rPr>
        <w:t>Comput</w:t>
      </w:r>
      <w:proofErr w:type="spellEnd"/>
      <w:r w:rsidRPr="000322DC">
        <w:rPr>
          <w:rFonts w:ascii="Times Roman" w:hAnsi="Times Roman"/>
          <w:i/>
          <w:iCs/>
        </w:rPr>
        <w:t>.</w:t>
      </w:r>
      <w:r w:rsidRPr="000322DC">
        <w:rPr>
          <w:rFonts w:ascii="Times Roman" w:hAnsi="Times Roman"/>
        </w:rPr>
        <w:t>, vol. 13, no. 4, pp. 913–918, Aug. 2009.</w:t>
      </w:r>
    </w:p>
    <w:p w14:paraId="23D123F7" w14:textId="77777777" w:rsidR="000322DC" w:rsidRPr="000322DC" w:rsidRDefault="000322DC" w:rsidP="000322DC">
      <w:pPr>
        <w:rPr>
          <w:rFonts w:ascii="Times Roman" w:hAnsi="Times Roman"/>
        </w:rPr>
      </w:pPr>
      <w:r w:rsidRPr="000322DC">
        <w:rPr>
          <w:rFonts w:ascii="Times Roman" w:hAnsi="Times Roman"/>
        </w:rPr>
        <w:t xml:space="preserve">[4] M. R. Garey and D. S. Johnson, </w:t>
      </w:r>
      <w:r w:rsidRPr="000322DC">
        <w:rPr>
          <w:rFonts w:ascii="Times Roman" w:hAnsi="Times Roman"/>
          <w:i/>
          <w:iCs/>
        </w:rPr>
        <w:t>Computers and Intractability: A Guide to the Theory of NP-Completeness</w:t>
      </w:r>
      <w:r w:rsidRPr="000322DC">
        <w:rPr>
          <w:rFonts w:ascii="Times Roman" w:hAnsi="Times Roman"/>
        </w:rPr>
        <w:t>. San Francisco, CA, USA: W. H. Freeman, 1979.</w:t>
      </w:r>
    </w:p>
    <w:p w14:paraId="295D7926" w14:textId="77777777" w:rsidR="000322DC" w:rsidRPr="000322DC" w:rsidRDefault="000322DC" w:rsidP="000322DC">
      <w:pPr>
        <w:rPr>
          <w:rFonts w:ascii="Times Roman" w:hAnsi="Times Roman"/>
        </w:rPr>
      </w:pPr>
      <w:r w:rsidRPr="000322DC">
        <w:rPr>
          <w:rFonts w:ascii="Times Roman" w:hAnsi="Times Roman"/>
        </w:rPr>
        <w:t xml:space="preserve">[5] A. Lucas, “Ising formulations of many NP problems,” </w:t>
      </w:r>
      <w:r w:rsidRPr="000322DC">
        <w:rPr>
          <w:rFonts w:ascii="Times Roman" w:hAnsi="Times Roman"/>
          <w:i/>
          <w:iCs/>
        </w:rPr>
        <w:t>Front. Phys.</w:t>
      </w:r>
      <w:r w:rsidRPr="000322DC">
        <w:rPr>
          <w:rFonts w:ascii="Times Roman" w:hAnsi="Times Roman"/>
        </w:rPr>
        <w:t>, vol. 2, Art. no. 5, Feb. 2014.</w:t>
      </w:r>
    </w:p>
    <w:p w14:paraId="01FD660C" w14:textId="77777777" w:rsidR="000322DC" w:rsidRPr="000322DC" w:rsidRDefault="000322DC" w:rsidP="000322DC">
      <w:pPr>
        <w:rPr>
          <w:rFonts w:ascii="Times Roman" w:hAnsi="Times Roman"/>
        </w:rPr>
      </w:pPr>
      <w:r w:rsidRPr="000322DC">
        <w:rPr>
          <w:rFonts w:ascii="Times Roman" w:hAnsi="Times Roman"/>
        </w:rPr>
        <w:t xml:space="preserve">[6] E. Farhi, J. Goldstone, and S. Gutmann, “A quantum approximate optimization algorithm,” 2014, </w:t>
      </w:r>
      <w:r w:rsidRPr="000322DC">
        <w:rPr>
          <w:rFonts w:ascii="Times Roman" w:hAnsi="Times Roman"/>
          <w:i/>
          <w:iCs/>
        </w:rPr>
        <w:t>arXiv:1411.4028</w:t>
      </w:r>
      <w:r w:rsidRPr="000322DC">
        <w:rPr>
          <w:rFonts w:ascii="Times Roman" w:hAnsi="Times Roman"/>
        </w:rPr>
        <w:t>.</w:t>
      </w:r>
    </w:p>
    <w:p w14:paraId="71409985" w14:textId="77777777" w:rsidR="000322DC" w:rsidRPr="000322DC" w:rsidRDefault="000322DC" w:rsidP="000322DC">
      <w:pPr>
        <w:rPr>
          <w:rFonts w:ascii="Times Roman" w:hAnsi="Times Roman"/>
        </w:rPr>
      </w:pPr>
      <w:r w:rsidRPr="000322DC">
        <w:rPr>
          <w:rFonts w:ascii="Times Roman" w:hAnsi="Times Roman"/>
        </w:rPr>
        <w:t xml:space="preserve">[7] A. </w:t>
      </w:r>
      <w:proofErr w:type="spellStart"/>
      <w:r w:rsidRPr="000322DC">
        <w:rPr>
          <w:rFonts w:ascii="Times Roman" w:hAnsi="Times Roman"/>
        </w:rPr>
        <w:t>Peruzzo</w:t>
      </w:r>
      <w:proofErr w:type="spellEnd"/>
      <w:r w:rsidRPr="000322DC">
        <w:rPr>
          <w:rFonts w:ascii="Times Roman" w:hAnsi="Times Roman"/>
        </w:rPr>
        <w:t xml:space="preserve"> </w:t>
      </w:r>
      <w:r w:rsidRPr="000322DC">
        <w:rPr>
          <w:rFonts w:ascii="Times Roman" w:hAnsi="Times Roman"/>
          <w:i/>
          <w:iCs/>
        </w:rPr>
        <w:t>et al.</w:t>
      </w:r>
      <w:r w:rsidRPr="000322DC">
        <w:rPr>
          <w:rFonts w:ascii="Times Roman" w:hAnsi="Times Roman"/>
        </w:rPr>
        <w:t xml:space="preserve">, “A variational eigenvalue solver on a photonic quantum processor,” </w:t>
      </w:r>
      <w:r w:rsidRPr="000322DC">
        <w:rPr>
          <w:rFonts w:ascii="Times Roman" w:hAnsi="Times Roman"/>
          <w:i/>
          <w:iCs/>
        </w:rPr>
        <w:t>Nat. Commun.</w:t>
      </w:r>
      <w:r w:rsidRPr="000322DC">
        <w:rPr>
          <w:rFonts w:ascii="Times Roman" w:hAnsi="Times Roman"/>
        </w:rPr>
        <w:t>, vol. 5, Art. no. 4213, Jul. 2014.</w:t>
      </w:r>
    </w:p>
    <w:p w14:paraId="564E883E" w14:textId="77777777" w:rsidR="000322DC" w:rsidRPr="000322DC" w:rsidRDefault="000322DC" w:rsidP="000322DC">
      <w:pPr>
        <w:rPr>
          <w:rFonts w:ascii="Times Roman" w:hAnsi="Times Roman"/>
        </w:rPr>
      </w:pPr>
      <w:r w:rsidRPr="000322DC">
        <w:rPr>
          <w:rFonts w:ascii="Times Roman" w:hAnsi="Times Roman"/>
        </w:rPr>
        <w:t xml:space="preserve">[8] J. </w:t>
      </w:r>
      <w:proofErr w:type="spellStart"/>
      <w:r w:rsidRPr="000322DC">
        <w:rPr>
          <w:rFonts w:ascii="Times Roman" w:hAnsi="Times Roman"/>
        </w:rPr>
        <w:t>Preskill</w:t>
      </w:r>
      <w:proofErr w:type="spellEnd"/>
      <w:r w:rsidRPr="000322DC">
        <w:rPr>
          <w:rFonts w:ascii="Times Roman" w:hAnsi="Times Roman"/>
        </w:rPr>
        <w:t xml:space="preserve">, “Quantum computing in the NISQ era and beyond,” </w:t>
      </w:r>
      <w:r w:rsidRPr="000322DC">
        <w:rPr>
          <w:rFonts w:ascii="Times Roman" w:hAnsi="Times Roman"/>
          <w:i/>
          <w:iCs/>
        </w:rPr>
        <w:t>Quantum</w:t>
      </w:r>
      <w:r w:rsidRPr="000322DC">
        <w:rPr>
          <w:rFonts w:ascii="Times Roman" w:hAnsi="Times Roman"/>
        </w:rPr>
        <w:t>, vol. 2, p. 79, Aug. 2018.</w:t>
      </w:r>
    </w:p>
    <w:p w14:paraId="470E3026" w14:textId="353B84DB" w:rsidR="00EB1941" w:rsidRPr="00EB1941" w:rsidRDefault="00EB1941" w:rsidP="00EB1941">
      <w:pPr>
        <w:rPr>
          <w:lang w:val="en-US"/>
        </w:rPr>
      </w:pPr>
    </w:p>
    <w:sectPr w:rsidR="00EB1941" w:rsidRPr="00EB19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Roman">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852D0"/>
    <w:multiLevelType w:val="multilevel"/>
    <w:tmpl w:val="884C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97C38"/>
    <w:multiLevelType w:val="hybridMultilevel"/>
    <w:tmpl w:val="F5E048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B47644"/>
    <w:multiLevelType w:val="hybridMultilevel"/>
    <w:tmpl w:val="F5E048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3243966">
    <w:abstractNumId w:val="2"/>
  </w:num>
  <w:num w:numId="2" w16cid:durableId="723256421">
    <w:abstractNumId w:val="0"/>
  </w:num>
  <w:num w:numId="3" w16cid:durableId="1370835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941"/>
    <w:rsid w:val="00031A73"/>
    <w:rsid w:val="000322DC"/>
    <w:rsid w:val="001F117E"/>
    <w:rsid w:val="004B5425"/>
    <w:rsid w:val="007C027F"/>
    <w:rsid w:val="008D0999"/>
    <w:rsid w:val="00BF1FBD"/>
    <w:rsid w:val="00EB1941"/>
    <w:rsid w:val="00F307E3"/>
    <w:rsid w:val="00F67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DF5A8"/>
  <w15:chartTrackingRefBased/>
  <w15:docId w15:val="{E176C4F2-0910-4D30-AA2A-8FFA29D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9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9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9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9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9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9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9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9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941"/>
    <w:rPr>
      <w:rFonts w:eastAsiaTheme="majorEastAsia" w:cstheme="majorBidi"/>
      <w:color w:val="272727" w:themeColor="text1" w:themeTint="D8"/>
    </w:rPr>
  </w:style>
  <w:style w:type="paragraph" w:styleId="Title">
    <w:name w:val="Title"/>
    <w:basedOn w:val="Normal"/>
    <w:next w:val="Normal"/>
    <w:link w:val="TitleChar"/>
    <w:uiPriority w:val="10"/>
    <w:qFormat/>
    <w:rsid w:val="00EB1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941"/>
    <w:pPr>
      <w:spacing w:before="160"/>
      <w:jc w:val="center"/>
    </w:pPr>
    <w:rPr>
      <w:i/>
      <w:iCs/>
      <w:color w:val="404040" w:themeColor="text1" w:themeTint="BF"/>
    </w:rPr>
  </w:style>
  <w:style w:type="character" w:customStyle="1" w:styleId="QuoteChar">
    <w:name w:val="Quote Char"/>
    <w:basedOn w:val="DefaultParagraphFont"/>
    <w:link w:val="Quote"/>
    <w:uiPriority w:val="29"/>
    <w:rsid w:val="00EB1941"/>
    <w:rPr>
      <w:i/>
      <w:iCs/>
      <w:color w:val="404040" w:themeColor="text1" w:themeTint="BF"/>
    </w:rPr>
  </w:style>
  <w:style w:type="paragraph" w:styleId="ListParagraph">
    <w:name w:val="List Paragraph"/>
    <w:basedOn w:val="Normal"/>
    <w:uiPriority w:val="34"/>
    <w:qFormat/>
    <w:rsid w:val="00EB1941"/>
    <w:pPr>
      <w:ind w:left="720"/>
      <w:contextualSpacing/>
    </w:pPr>
  </w:style>
  <w:style w:type="character" w:styleId="IntenseEmphasis">
    <w:name w:val="Intense Emphasis"/>
    <w:basedOn w:val="DefaultParagraphFont"/>
    <w:uiPriority w:val="21"/>
    <w:qFormat/>
    <w:rsid w:val="00EB1941"/>
    <w:rPr>
      <w:i/>
      <w:iCs/>
      <w:color w:val="0F4761" w:themeColor="accent1" w:themeShade="BF"/>
    </w:rPr>
  </w:style>
  <w:style w:type="paragraph" w:styleId="IntenseQuote">
    <w:name w:val="Intense Quote"/>
    <w:basedOn w:val="Normal"/>
    <w:next w:val="Normal"/>
    <w:link w:val="IntenseQuoteChar"/>
    <w:uiPriority w:val="30"/>
    <w:qFormat/>
    <w:rsid w:val="00EB1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941"/>
    <w:rPr>
      <w:i/>
      <w:iCs/>
      <w:color w:val="0F4761" w:themeColor="accent1" w:themeShade="BF"/>
    </w:rPr>
  </w:style>
  <w:style w:type="character" w:styleId="IntenseReference">
    <w:name w:val="Intense Reference"/>
    <w:basedOn w:val="DefaultParagraphFont"/>
    <w:uiPriority w:val="32"/>
    <w:qFormat/>
    <w:rsid w:val="00EB19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3</Pages>
  <Words>979</Words>
  <Characters>5582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malar</dc:creator>
  <cp:keywords/>
  <dc:description/>
  <cp:lastModifiedBy>akshaya malar</cp:lastModifiedBy>
  <cp:revision>1</cp:revision>
  <dcterms:created xsi:type="dcterms:W3CDTF">2026-10-18T10:38:00Z</dcterms:created>
  <dcterms:modified xsi:type="dcterms:W3CDTF">2026-10-18T14:45:00Z</dcterms:modified>
</cp:coreProperties>
</file>