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_Toc62204393 \h </w:instrText>
        </w:r>
        <w:r w:rsidRPr="004A21B9">
          <w:rPr>
            <w:noProof/>
            <w:webHidden/>
            <w:lang w:val="en-US"/>
          </w:rPr>
        </w:r>
        <w:r w:rsidRPr="004A21B9">
          <w:rPr>
            <w:noProof/>
            <w:webHidden/>
            <w:lang w:val="en-US"/>
          </w:rPr>
          <w:fldChar w:fldCharType="separate"/>
        </w:r>
        <w:r w:rsidR="00551B41" w:rsidRPr="004A21B9">
          <w:rPr>
            <w:noProof/>
            <w:webHidden/>
            <w:lang w:val="en-US"/>
          </w:rPr>
          <w:t>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_Toc62204394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_Toc62204395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_Toc62204396 \h </w:instrText>
        </w:r>
        <w:r w:rsidRPr="004A21B9">
          <w:rPr>
            <w:noProof/>
            <w:webHidden/>
            <w:lang w:val="en-US"/>
          </w:rPr>
        </w:r>
        <w:r w:rsidRPr="004A21B9">
          <w:rPr>
            <w:noProof/>
            <w:webHidden/>
            <w:lang w:val="en-US"/>
          </w:rPr>
          <w:fldChar w:fldCharType="separate"/>
        </w:r>
        <w:r w:rsidR="00551B41" w:rsidRPr="004A21B9">
          <w:rPr>
            <w:noProof/>
            <w:webHidden/>
            <w:lang w:val="en-US"/>
          </w:rPr>
          <w:t>7</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_Toc62204397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_Toc62204398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_Toc62204399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_Toc62204400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_Toc62204401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_Toc62204402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_Toc62204403 \h </w:instrText>
        </w:r>
        <w:r w:rsidRPr="004A21B9">
          <w:rPr>
            <w:noProof/>
            <w:webHidden/>
            <w:lang w:val="en-US"/>
          </w:rPr>
        </w:r>
        <w:r w:rsidRPr="004A21B9">
          <w:rPr>
            <w:noProof/>
            <w:webHidden/>
            <w:lang w:val="en-US"/>
          </w:rPr>
          <w:fldChar w:fldCharType="separate"/>
        </w:r>
        <w:r w:rsidR="00551B41" w:rsidRPr="004A21B9">
          <w:rPr>
            <w:noProof/>
            <w:webHidden/>
            <w:lang w:val="en-US"/>
          </w:rPr>
          <w:t>10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_Toc62204404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_Toc62204405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_Toc62204406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_Toc62204407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_Toc62204408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_Toc62204409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_Toc62204410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_Toc62204411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_Toc62204412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_Toc62204413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_Toc62204414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_Toc62204415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_Toc62204416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_Toc62204417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_Toc62204418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_Toc62204419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_Toc62204420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_Toc62204421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_Toc62204422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_Toc62204423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_Toc62204424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_Toc62204425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_Toc62204426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_Toc62204427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_Toc62204428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_Toc62204429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_Toc62204430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_Toc62204431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_Toc62204432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_Toc62204433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_Toc62204434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_Toc62204435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_Toc62204436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_Toc62204437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_Toc62204438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_Toc62204439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_Toc62204440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_Toc62204441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_Toc62204442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_Toc62204443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_Toc62204444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_Toc62204445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_Toc62204446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_Toc62204447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_Toc62204448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_Toc62204449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_Toc62204450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_Toc62204451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_Toc62204452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_Toc62204453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_Toc62204454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_Toc62204455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_Toc62204456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_Toc62204457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_Toc62204458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_Toc62204459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_Toc62204460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_Toc62204461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_Toc62204462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_Toc62204463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_Toc62204464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_Toc62204465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_Toc62204466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_Toc62204467 \h </w:instrText>
        </w:r>
        <w:r w:rsidRPr="004A21B9">
          <w:rPr>
            <w:noProof/>
            <w:webHidden/>
            <w:lang w:val="en-US"/>
          </w:rPr>
        </w:r>
        <w:r w:rsidRPr="004A21B9">
          <w:rPr>
            <w:noProof/>
            <w:webHidden/>
            <w:lang w:val="en-US"/>
          </w:rPr>
          <w:fldChar w:fldCharType="separate"/>
        </w:r>
        <w:r w:rsidR="00551B41" w:rsidRPr="004A21B9">
          <w:rPr>
            <w:noProof/>
            <w:webHidden/>
            <w:lang w:val="en-US"/>
          </w:rPr>
          <w:t>32</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_Toc62204468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_Toc62204469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_Toc62204470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_Toc62204471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_Toc62204472 \h </w:instrText>
        </w:r>
        <w:r w:rsidRPr="004A21B9">
          <w:rPr>
            <w:noProof/>
            <w:webHidden/>
            <w:lang w:val="en-US"/>
          </w:rPr>
        </w:r>
        <w:r w:rsidRPr="004A21B9">
          <w:rPr>
            <w:noProof/>
            <w:webHidden/>
            <w:lang w:val="en-US"/>
          </w:rPr>
          <w:fldChar w:fldCharType="separate"/>
        </w:r>
        <w:r w:rsidR="00551B41" w:rsidRPr="004A21B9">
          <w:rPr>
            <w:noProof/>
            <w:webHidden/>
            <w:lang w:val="en-US"/>
          </w:rPr>
          <w:t>36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_Toc62204473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_Toc62204474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_Toc62204475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_Toc62204476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_Toc62204477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_Toc62204478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_Toc62204479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_Toc62204480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_Toc62204481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_Toc62204482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_Toc62204483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_Toc62204484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_Toc62204485 \h </w:instrText>
        </w:r>
        <w:r w:rsidRPr="004A21B9">
          <w:rPr>
            <w:noProof/>
            <w:webHidden/>
            <w:lang w:val="en-US"/>
          </w:rPr>
        </w:r>
        <w:r w:rsidRPr="004A21B9">
          <w:rPr>
            <w:noProof/>
            <w:webHidden/>
            <w:lang w:val="en-US"/>
          </w:rPr>
          <w:fldChar w:fldCharType="separate"/>
        </w:r>
        <w:r w:rsidR="00551B41" w:rsidRPr="004A21B9">
          <w:rPr>
            <w:noProof/>
            <w:webHidden/>
            <w:lang w:val="en-US"/>
          </w:rPr>
          <w:t>44</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_Toc62204486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_Toc62204487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_Toc62204488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_Toc62204489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_Toc62204490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_Toc62204491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_Toc62204492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_Toc62204493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_Toc62204494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_Toc62204495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_Toc62204496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_Toc62204497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_Toc62204498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2004B5" w:rsidP="008B1EBB">
      <w:pPr>
        <w:keepNext/>
        <w:jc w:val="center"/>
        <w:rPr>
          <w:noProof/>
          <w:lang w:val="en-US"/>
        </w:rPr>
      </w:pPr>
      <w:r w:rsidRPr="009A14FC">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8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2004B5" w:rsidP="005D386B">
      <w:pPr>
        <w:pStyle w:val="NormalWeb"/>
        <w:keepNext/>
        <w:jc w:val="both"/>
        <w:rPr>
          <w:noProof/>
          <w:lang w:val="en-US"/>
        </w:rPr>
      </w:pPr>
      <w:r w:rsidRPr="009A14FC">
        <w:rPr>
          <w:noProof/>
          <w:lang w:val="en-US"/>
        </w:rPr>
        <w:pict>
          <v:shape id="_x0000_i1026" type="#_x0000_t75" style="width:452.15pt;height:218.3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2004B5"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2004B5" w:rsidP="00096A1B">
      <w:pPr>
        <w:keepNext/>
        <w:spacing w:before="100" w:beforeAutospacing="1" w:after="100" w:afterAutospacing="1"/>
        <w:ind w:firstLine="0"/>
        <w:rPr>
          <w:noProof/>
          <w:lang w:val="en-US"/>
        </w:rPr>
      </w:pPr>
      <w:r w:rsidRPr="009A14FC">
        <w:rPr>
          <w:noProof/>
          <w:lang w:val="en-US"/>
        </w:rPr>
        <w:pict>
          <v:shape id="_x0000_i1027" type="#_x0000_t75" style="width:497.65pt;height:126.15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9A14FC"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9A14FC"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9A14FC"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9A14FC"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9A14FC"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9A14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9A14FC"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9A14FC"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9A14FC"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3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2B53" w:rsidRPr="00522B53" w:rsidRDefault="00522B53" w:rsidP="00522B53">
      <w:pPr>
        <w:spacing w:before="100" w:beforeAutospacing="1" w:after="100" w:afterAutospacing="1"/>
        <w:ind w:firstLine="0"/>
        <w:rPr>
          <w:noProof/>
          <w:lang w:val="en-US" w:eastAsia="en-US"/>
        </w:rPr>
      </w:pPr>
      <w:bookmarkStart w:id="109" w:name="_GoBack"/>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r>
        <w:rPr>
          <w:noProof/>
          <w:sz w:val="36"/>
          <w:szCs w:val="36"/>
          <w:lang w:val="en-US"/>
        </w:rPr>
        <w:t>Query scrolling</w:t>
      </w:r>
    </w:p>
    <w:p w:rsidR="00527E8A" w:rsidRDefault="002004B5" w:rsidP="002004B5">
      <w:pPr>
        <w:rPr>
          <w:noProof/>
          <w:lang w:val="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r w:rsidR="005D5D99">
        <w:rPr>
          <w:noProof/>
          <w:lang w:val="en-US"/>
        </w:rPr>
        <w:t xml:space="preserve"> The method can accept the ScrollMode parameter.</w:t>
      </w:r>
    </w:p>
    <w:p w:rsidR="00165CFA" w:rsidRDefault="00165CFA" w:rsidP="002004B5">
      <w:pPr>
        <w:rPr>
          <w:noProof/>
          <w:lang w:val="en-US"/>
        </w:rPr>
      </w:pPr>
      <w:r w:rsidRPr="00165CFA">
        <w:rPr>
          <w:noProof/>
          <w:lang w:val="en-US"/>
        </w:rPr>
        <w:t xml:space="preserve">If you plan to use </w:t>
      </w:r>
      <w:r w:rsidRPr="002004B5">
        <w:rPr>
          <w:b/>
          <w:noProof/>
          <w:color w:val="0070C0"/>
          <w:lang w:val="en-US"/>
        </w:rPr>
        <w:t>Query.scroll</w:t>
      </w:r>
      <w:r>
        <w:rPr>
          <w:b/>
          <w:noProof/>
          <w:color w:val="0070C0"/>
          <w:lang w:val="en-US"/>
        </w:rPr>
        <w:t>()</w:t>
      </w:r>
      <w:r w:rsidRPr="00165CFA">
        <w:rPr>
          <w:noProof/>
          <w:lang w:val="en-US"/>
        </w:rPr>
        <w:t xml:space="preserve"> with collection fetches it is important that your query explicitly order the results so that the JDBC results contain the related rows sequentially.</w:t>
      </w:r>
    </w:p>
    <w:p w:rsidR="000C35B0" w:rsidRDefault="000C35B0" w:rsidP="002004B5">
      <w:pPr>
        <w:rPr>
          <w:noProof/>
          <w:lang w:val="en-US"/>
        </w:rPr>
      </w:pPr>
    </w:p>
    <w:p w:rsidR="000C35B0" w:rsidRDefault="000C35B0" w:rsidP="002004B5">
      <w:pPr>
        <w:rPr>
          <w:noProof/>
          <w:lang w:val="en-US"/>
        </w:rPr>
      </w:pPr>
      <w:r w:rsidRPr="000C35B0">
        <w:rPr>
          <w:noProof/>
          <w:lang w:val="en-US"/>
        </w:rPr>
        <w:t xml:space="preserve">Hibernate also supports </w:t>
      </w:r>
      <w:r w:rsidRPr="000C35B0">
        <w:rPr>
          <w:b/>
          <w:noProof/>
          <w:color w:val="0070C0"/>
          <w:lang w:val="en-US"/>
        </w:rPr>
        <w:t>Query.iterate</w:t>
      </w:r>
      <w:r>
        <w:rPr>
          <w:b/>
          <w:noProof/>
          <w:color w:val="0070C0"/>
          <w:lang w:val="en-US"/>
        </w:rPr>
        <w:t>()</w:t>
      </w:r>
      <w:r w:rsidRPr="000C35B0">
        <w:rPr>
          <w:noProof/>
          <w:lang w:val="en-US"/>
        </w:rPr>
        <w:t>, which is intended for loading entities when it is known that the loaded entries are already stored in the second-level cache.</w:t>
      </w:r>
    </w:p>
    <w:p w:rsidR="008B5238" w:rsidRPr="008B5238" w:rsidRDefault="008B5238" w:rsidP="002004B5">
      <w:pPr>
        <w:rPr>
          <w:noProof/>
          <w:lang w:val="en-US"/>
        </w:rPr>
      </w:pPr>
      <w:r w:rsidRPr="008B5238">
        <w:rPr>
          <w:noProof/>
          <w:lang w:val="en-US"/>
        </w:rPr>
        <w:lastRenderedPageBreak/>
        <w:t xml:space="preserve">Since 5.2, Hibernate offers support for returning a </w:t>
      </w:r>
      <w:r w:rsidRPr="008B5238">
        <w:rPr>
          <w:rFonts w:ascii="Courier New" w:hAnsi="Courier New" w:cs="Courier New"/>
          <w:noProof/>
          <w:sz w:val="20"/>
          <w:szCs w:val="20"/>
          <w:lang w:val="en-US"/>
        </w:rPr>
        <w:t>Stream</w:t>
      </w:r>
      <w:r w:rsidRPr="008B5238">
        <w:rPr>
          <w:noProof/>
          <w:lang w:val="en-US"/>
        </w:rPr>
        <w:t xml:space="preserve"> which can be later used to transform the underlying </w:t>
      </w:r>
      <w:r w:rsidRPr="008B5238">
        <w:rPr>
          <w:rFonts w:ascii="Courier New" w:hAnsi="Courier New" w:cs="Courier New"/>
          <w:noProof/>
          <w:sz w:val="20"/>
          <w:szCs w:val="20"/>
          <w:lang w:val="en-US"/>
        </w:rPr>
        <w:t>ResultSet</w:t>
      </w:r>
      <w:r w:rsidRPr="008B5238">
        <w:rPr>
          <w:noProof/>
          <w:lang w:val="en-US"/>
        </w:rPr>
        <w:t>.</w:t>
      </w:r>
    </w:p>
    <w:p w:rsidR="008B5238" w:rsidRDefault="008B5238" w:rsidP="002004B5">
      <w:pPr>
        <w:rPr>
          <w:noProof/>
          <w:lang w:val="en-US"/>
        </w:rPr>
      </w:pPr>
    </w:p>
    <w:p w:rsidR="008B5238" w:rsidRDefault="008B5238" w:rsidP="002004B5">
      <w:pPr>
        <w:rPr>
          <w:noProof/>
          <w:lang w:val="en-US"/>
        </w:rPr>
      </w:pPr>
      <w:r>
        <w:rPr>
          <w:noProof/>
          <w:lang w:val="en-US"/>
        </w:rPr>
        <w:t>Close ResultSets and Streams!</w:t>
      </w:r>
    </w:p>
    <w:p w:rsidR="00DA304E" w:rsidRDefault="00DA304E" w:rsidP="00DA304E">
      <w:pPr>
        <w:pStyle w:val="Heading1"/>
        <w:numPr>
          <w:ilvl w:val="1"/>
          <w:numId w:val="12"/>
        </w:numPr>
        <w:jc w:val="center"/>
        <w:rPr>
          <w:noProof/>
          <w:sz w:val="36"/>
          <w:szCs w:val="36"/>
          <w:lang w:val="en-US"/>
        </w:rPr>
      </w:pPr>
      <w:r>
        <w:rPr>
          <w:noProof/>
          <w:sz w:val="36"/>
          <w:szCs w:val="36"/>
          <w:lang w:val="en-US"/>
        </w:rPr>
        <w:t>Query scrolling</w:t>
      </w:r>
    </w:p>
    <w:p w:rsidR="00DA304E" w:rsidRPr="00DA304E" w:rsidRDefault="00DA304E" w:rsidP="00DA304E">
      <w:pPr>
        <w:rPr>
          <w:noProof/>
          <w:lang w:val="en-US"/>
        </w:rPr>
      </w:pPr>
      <w:r w:rsidRPr="00DA304E">
        <w:rPr>
          <w:noProof/>
          <w:lang w:val="en-US"/>
        </w:rPr>
        <w:t xml:space="preserve">Since version 2.2, the JPA </w:t>
      </w:r>
      <w:r w:rsidRPr="00DA304E">
        <w:rPr>
          <w:rFonts w:ascii="Courier New" w:hAnsi="Courier New" w:cs="Courier New"/>
          <w:noProof/>
          <w:sz w:val="20"/>
          <w:szCs w:val="20"/>
          <w:lang w:val="en-US"/>
        </w:rPr>
        <w:t>Query</w:t>
      </w:r>
      <w:r w:rsidRPr="00DA304E">
        <w:rPr>
          <w:noProof/>
          <w:lang w:val="en-US"/>
        </w:rPr>
        <w:t xml:space="preserve"> interface offers support for returning a </w:t>
      </w:r>
      <w:r w:rsidRPr="00DA304E">
        <w:rPr>
          <w:rFonts w:ascii="Courier New" w:hAnsi="Courier New" w:cs="Courier New"/>
          <w:noProof/>
          <w:sz w:val="20"/>
          <w:szCs w:val="20"/>
          <w:lang w:val="en-US"/>
        </w:rPr>
        <w:t>Stream</w:t>
      </w:r>
      <w:r w:rsidRPr="00DA304E">
        <w:rPr>
          <w:noProof/>
          <w:lang w:val="en-US"/>
        </w:rPr>
        <w:t xml:space="preserve"> via the </w:t>
      </w:r>
      <w:r w:rsidRPr="00DA304E">
        <w:rPr>
          <w:b/>
          <w:noProof/>
          <w:color w:val="0070C0"/>
          <w:lang w:val="en-US"/>
        </w:rPr>
        <w:t>getResultStream</w:t>
      </w:r>
      <w:r w:rsidRPr="00DA304E">
        <w:rPr>
          <w:noProof/>
          <w:lang w:val="en-US"/>
        </w:rPr>
        <w:t xml:space="preserve"> method.</w:t>
      </w:r>
    </w:p>
    <w:bookmarkEnd w:id="109"/>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9A14FC"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9A14FC" w:rsidP="00014DDA">
      <w:pPr>
        <w:shd w:val="clear" w:color="auto" w:fill="FFFFFF"/>
        <w:rPr>
          <w:noProof/>
          <w:lang w:val="en-US"/>
        </w:rPr>
      </w:pPr>
      <w:hyperlink r:id="rId95"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9A14FC" w:rsidP="00014DDA">
      <w:pPr>
        <w:shd w:val="clear" w:color="auto" w:fill="FFFFFF"/>
        <w:rPr>
          <w:noProof/>
          <w:lang w:val="en-US"/>
        </w:rPr>
      </w:pPr>
      <w:hyperlink r:id="rId96"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9A14FC" w:rsidP="00014DDA">
      <w:pPr>
        <w:shd w:val="clear" w:color="auto" w:fill="FFFFFF"/>
        <w:rPr>
          <w:noProof/>
          <w:lang w:val="en-US"/>
        </w:rPr>
      </w:pPr>
      <w:hyperlink r:id="rId97" w:history="1">
        <w:r w:rsidR="00B8657B" w:rsidRPr="004A21B9">
          <w:rPr>
            <w:rStyle w:val="Hyperlink"/>
            <w:noProof/>
            <w:lang w:val="en-US"/>
          </w:rPr>
          <w:t>https://howtodoinjava.com/hibernate/hibernate-c3p0-connection-pool-configuration-tutorial/</w:t>
        </w:r>
      </w:hyperlink>
    </w:p>
    <w:p w:rsidR="00B8657B" w:rsidRPr="004A21B9" w:rsidRDefault="009A14FC" w:rsidP="00014DDA">
      <w:pPr>
        <w:shd w:val="clear" w:color="auto" w:fill="FFFFFF"/>
        <w:rPr>
          <w:noProof/>
          <w:lang w:val="en-US"/>
        </w:rPr>
      </w:pPr>
      <w:hyperlink r:id="rId98"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8">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9">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5">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5">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6">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9">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9">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3">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0"/>
  </w:num>
  <w:num w:numId="3">
    <w:abstractNumId w:val="20"/>
  </w:num>
  <w:num w:numId="4">
    <w:abstractNumId w:val="42"/>
  </w:num>
  <w:num w:numId="5">
    <w:abstractNumId w:val="5"/>
  </w:num>
  <w:num w:numId="6">
    <w:abstractNumId w:val="91"/>
  </w:num>
  <w:num w:numId="7">
    <w:abstractNumId w:val="59"/>
  </w:num>
  <w:num w:numId="8">
    <w:abstractNumId w:val="15"/>
  </w:num>
  <w:num w:numId="9">
    <w:abstractNumId w:val="4"/>
  </w:num>
  <w:num w:numId="10">
    <w:abstractNumId w:val="7"/>
  </w:num>
  <w:num w:numId="11">
    <w:abstractNumId w:val="62"/>
  </w:num>
  <w:num w:numId="12">
    <w:abstractNumId w:val="94"/>
  </w:num>
  <w:num w:numId="13">
    <w:abstractNumId w:val="87"/>
  </w:num>
  <w:num w:numId="14">
    <w:abstractNumId w:val="73"/>
  </w:num>
  <w:num w:numId="15">
    <w:abstractNumId w:val="33"/>
  </w:num>
  <w:num w:numId="16">
    <w:abstractNumId w:val="3"/>
  </w:num>
  <w:num w:numId="17">
    <w:abstractNumId w:val="12"/>
  </w:num>
  <w:num w:numId="18">
    <w:abstractNumId w:val="52"/>
  </w:num>
  <w:num w:numId="19">
    <w:abstractNumId w:val="78"/>
  </w:num>
  <w:num w:numId="20">
    <w:abstractNumId w:val="10"/>
  </w:num>
  <w:num w:numId="21">
    <w:abstractNumId w:val="63"/>
  </w:num>
  <w:num w:numId="22">
    <w:abstractNumId w:val="77"/>
  </w:num>
  <w:num w:numId="23">
    <w:abstractNumId w:val="60"/>
  </w:num>
  <w:num w:numId="24">
    <w:abstractNumId w:val="38"/>
  </w:num>
  <w:num w:numId="25">
    <w:abstractNumId w:val="89"/>
  </w:num>
  <w:num w:numId="26">
    <w:abstractNumId w:val="2"/>
  </w:num>
  <w:num w:numId="27">
    <w:abstractNumId w:val="95"/>
  </w:num>
  <w:num w:numId="28">
    <w:abstractNumId w:val="55"/>
  </w:num>
  <w:num w:numId="29">
    <w:abstractNumId w:val="81"/>
  </w:num>
  <w:num w:numId="30">
    <w:abstractNumId w:val="58"/>
  </w:num>
  <w:num w:numId="31">
    <w:abstractNumId w:val="54"/>
  </w:num>
  <w:num w:numId="32">
    <w:abstractNumId w:val="14"/>
  </w:num>
  <w:num w:numId="33">
    <w:abstractNumId w:val="50"/>
  </w:num>
  <w:num w:numId="34">
    <w:abstractNumId w:val="31"/>
  </w:num>
  <w:num w:numId="35">
    <w:abstractNumId w:val="85"/>
  </w:num>
  <w:num w:numId="36">
    <w:abstractNumId w:val="41"/>
  </w:num>
  <w:num w:numId="37">
    <w:abstractNumId w:val="26"/>
  </w:num>
  <w:num w:numId="38">
    <w:abstractNumId w:val="80"/>
  </w:num>
  <w:num w:numId="39">
    <w:abstractNumId w:val="39"/>
  </w:num>
  <w:num w:numId="40">
    <w:abstractNumId w:val="36"/>
  </w:num>
  <w:num w:numId="41">
    <w:abstractNumId w:val="67"/>
  </w:num>
  <w:num w:numId="42">
    <w:abstractNumId w:val="43"/>
  </w:num>
  <w:num w:numId="43">
    <w:abstractNumId w:val="23"/>
  </w:num>
  <w:num w:numId="44">
    <w:abstractNumId w:val="9"/>
  </w:num>
  <w:num w:numId="45">
    <w:abstractNumId w:val="64"/>
  </w:num>
  <w:num w:numId="46">
    <w:abstractNumId w:val="48"/>
  </w:num>
  <w:num w:numId="47">
    <w:abstractNumId w:val="6"/>
  </w:num>
  <w:num w:numId="48">
    <w:abstractNumId w:val="17"/>
  </w:num>
  <w:num w:numId="49">
    <w:abstractNumId w:val="66"/>
  </w:num>
  <w:num w:numId="50">
    <w:abstractNumId w:val="11"/>
  </w:num>
  <w:num w:numId="51">
    <w:abstractNumId w:val="29"/>
  </w:num>
  <w:num w:numId="52">
    <w:abstractNumId w:val="61"/>
  </w:num>
  <w:num w:numId="53">
    <w:abstractNumId w:val="74"/>
  </w:num>
  <w:num w:numId="54">
    <w:abstractNumId w:val="88"/>
  </w:num>
  <w:num w:numId="55">
    <w:abstractNumId w:val="72"/>
  </w:num>
  <w:num w:numId="56">
    <w:abstractNumId w:val="40"/>
  </w:num>
  <w:num w:numId="57">
    <w:abstractNumId w:val="21"/>
  </w:num>
  <w:num w:numId="58">
    <w:abstractNumId w:val="96"/>
  </w:num>
  <w:num w:numId="59">
    <w:abstractNumId w:val="37"/>
  </w:num>
  <w:num w:numId="60">
    <w:abstractNumId w:val="19"/>
  </w:num>
  <w:num w:numId="61">
    <w:abstractNumId w:val="83"/>
  </w:num>
  <w:num w:numId="62">
    <w:abstractNumId w:val="51"/>
  </w:num>
  <w:num w:numId="63">
    <w:abstractNumId w:val="46"/>
  </w:num>
  <w:num w:numId="64">
    <w:abstractNumId w:val="92"/>
  </w:num>
  <w:num w:numId="65">
    <w:abstractNumId w:val="13"/>
  </w:num>
  <w:num w:numId="66">
    <w:abstractNumId w:val="0"/>
  </w:num>
  <w:num w:numId="67">
    <w:abstractNumId w:val="1"/>
  </w:num>
  <w:num w:numId="68">
    <w:abstractNumId w:val="22"/>
  </w:num>
  <w:num w:numId="69">
    <w:abstractNumId w:val="71"/>
  </w:num>
  <w:num w:numId="70">
    <w:abstractNumId w:val="76"/>
  </w:num>
  <w:num w:numId="71">
    <w:abstractNumId w:val="65"/>
  </w:num>
  <w:num w:numId="72">
    <w:abstractNumId w:val="90"/>
  </w:num>
  <w:num w:numId="73">
    <w:abstractNumId w:val="93"/>
  </w:num>
  <w:num w:numId="74">
    <w:abstractNumId w:val="53"/>
  </w:num>
  <w:num w:numId="75">
    <w:abstractNumId w:val="28"/>
  </w:num>
  <w:num w:numId="76">
    <w:abstractNumId w:val="18"/>
  </w:num>
  <w:num w:numId="77">
    <w:abstractNumId w:val="49"/>
  </w:num>
  <w:num w:numId="78">
    <w:abstractNumId w:val="45"/>
  </w:num>
  <w:num w:numId="79">
    <w:abstractNumId w:val="82"/>
  </w:num>
  <w:num w:numId="80">
    <w:abstractNumId w:val="27"/>
  </w:num>
  <w:num w:numId="81">
    <w:abstractNumId w:val="86"/>
  </w:num>
  <w:num w:numId="82">
    <w:abstractNumId w:val="79"/>
  </w:num>
  <w:num w:numId="83">
    <w:abstractNumId w:val="57"/>
  </w:num>
  <w:num w:numId="84">
    <w:abstractNumId w:val="44"/>
  </w:num>
  <w:num w:numId="85">
    <w:abstractNumId w:val="47"/>
  </w:num>
  <w:num w:numId="86">
    <w:abstractNumId w:val="35"/>
  </w:num>
  <w:num w:numId="87">
    <w:abstractNumId w:val="56"/>
  </w:num>
  <w:num w:numId="88">
    <w:abstractNumId w:val="84"/>
  </w:num>
  <w:num w:numId="89">
    <w:abstractNumId w:val="34"/>
  </w:num>
  <w:num w:numId="90">
    <w:abstractNumId w:val="75"/>
  </w:num>
  <w:num w:numId="91">
    <w:abstractNumId w:val="16"/>
  </w:num>
  <w:num w:numId="92">
    <w:abstractNumId w:val="69"/>
  </w:num>
  <w:num w:numId="93">
    <w:abstractNumId w:val="30"/>
  </w:num>
  <w:num w:numId="94">
    <w:abstractNumId w:val="25"/>
  </w:num>
  <w:num w:numId="95">
    <w:abstractNumId w:val="68"/>
  </w:num>
  <w:num w:numId="96">
    <w:abstractNumId w:val="24"/>
  </w:num>
  <w:num w:numId="97">
    <w:abstractNumId w:val="32"/>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red-gate.com/simple-talk/sql/database-administration/using-migration-scripts-in-database-deployment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10214</TotalTime>
  <Pages>51</Pages>
  <Words>17185</Words>
  <Characters>97960</Characters>
  <Application>Microsoft Office Word</Application>
  <DocSecurity>0</DocSecurity>
  <Lines>816</Lines>
  <Paragraphs>229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434</cp:revision>
  <cp:lastPrinted>2020-10-30T07:01:00Z</cp:lastPrinted>
  <dcterms:created xsi:type="dcterms:W3CDTF">2020-10-28T13:42:00Z</dcterms:created>
  <dcterms:modified xsi:type="dcterms:W3CDTF">2021-02-10T21:31:00Z</dcterms:modified>
</cp:coreProperties>
</file>