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7007DF">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7007DF">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7007D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7007D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7007DF">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7007D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C90325"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CF7DE9">
        <w:rPr>
          <w:noProof/>
          <w:sz w:val="28"/>
          <w:szCs w:val="28"/>
          <w:lang w:val="en-US"/>
        </w:rPr>
        <w:t xml:space="preserve">: </w:t>
      </w:r>
      <w:r w:rsidRPr="008303D2">
        <w:rPr>
          <w:noProof/>
          <w:sz w:val="28"/>
          <w:szCs w:val="28"/>
        </w:rPr>
        <w:t>для</w:t>
      </w:r>
      <w:r w:rsidRPr="00CF7DE9">
        <w:rPr>
          <w:noProof/>
          <w:sz w:val="28"/>
          <w:szCs w:val="28"/>
          <w:lang w:val="en-US"/>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C90325"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3B6F7B" w:rsidRDefault="00A237E5" w:rsidP="003158FF">
      <w:pPr>
        <w:pStyle w:val="NormalWeb"/>
        <w:spacing w:before="0" w:beforeAutospacing="0" w:after="0" w:afterAutospacing="0"/>
      </w:pPr>
      <w:r w:rsidRPr="003B6F7B">
        <w:rPr>
          <w:b/>
          <w:noProof/>
          <w:color w:val="0070C0"/>
          <w:lang w:val="en-US"/>
        </w:rPr>
        <w:lastRenderedPageBreak/>
        <w:t>SessionFactory</w:t>
      </w:r>
      <w:r w:rsidRPr="003B6F7B">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3B6F7B">
        <w:t>org.hibernate.Session. EntityManagerFactory</w:t>
      </w:r>
      <w:r w:rsidRPr="003B6F7B">
        <w:rPr>
          <w:noProof/>
        </w:rPr>
        <w:t xml:space="preserve"> – это JPA эквивалент </w:t>
      </w:r>
      <w:r w:rsidRPr="003B6F7B">
        <w:t>SessionFactory</w:t>
      </w:r>
      <w:r w:rsidR="0038288B" w:rsidRPr="003B6F7B">
        <w:t>.</w:t>
      </w:r>
    </w:p>
    <w:p w:rsidR="00A237E5" w:rsidRPr="003B6F7B" w:rsidRDefault="00A237E5" w:rsidP="003158FF">
      <w:pPr>
        <w:pStyle w:val="NormalWeb"/>
        <w:spacing w:before="0" w:beforeAutospacing="0" w:after="0" w:afterAutospacing="0"/>
        <w:rPr>
          <w:noProof/>
        </w:rPr>
      </w:pPr>
      <w:r w:rsidRPr="003B6F7B">
        <w:t>Session</w:t>
      </w:r>
      <w:r w:rsidR="007007DF">
        <w:t>При</w:t>
      </w:r>
      <w:r w:rsidRPr="003B6F7B">
        <w:t>Factory</w:t>
      </w:r>
      <w:r w:rsidRPr="003B6F7B">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3B6F7B" w:rsidRDefault="00A237E5" w:rsidP="0038288B">
      <w:pPr>
        <w:pStyle w:val="NormalWeb"/>
        <w:spacing w:before="0" w:beforeAutospacing="0" w:after="0" w:afterAutospacing="0"/>
      </w:pPr>
      <w:r w:rsidRPr="003B6F7B">
        <w:t>SessionFactory</w:t>
      </w:r>
      <w:r w:rsidRPr="003B6F7B">
        <w:rPr>
          <w:noProof/>
        </w:rPr>
        <w:t xml:space="preserve"> поддерживает сервисы, которые Hibernate использует</w:t>
      </w:r>
      <w:r w:rsidR="0038288B" w:rsidRPr="003B6F7B">
        <w:rPr>
          <w:noProof/>
        </w:rPr>
        <w:t>ся</w:t>
      </w:r>
      <w:r w:rsidRPr="003B6F7B">
        <w:rPr>
          <w:noProof/>
        </w:rPr>
        <w:t xml:space="preserve"> </w:t>
      </w:r>
      <w:r w:rsidR="0038288B" w:rsidRPr="003B6F7B">
        <w:rPr>
          <w:noProof/>
        </w:rPr>
        <w:t>для</w:t>
      </w:r>
      <w:r w:rsidRPr="003B6F7B">
        <w:rPr>
          <w:noProof/>
        </w:rPr>
        <w:t xml:space="preserve"> все</w:t>
      </w:r>
      <w:r w:rsidR="0038288B" w:rsidRPr="003B6F7B">
        <w:rPr>
          <w:noProof/>
        </w:rPr>
        <w:t>х</w:t>
      </w:r>
      <w:r w:rsidRPr="003B6F7B">
        <w:rPr>
          <w:noProof/>
        </w:rPr>
        <w:t xml:space="preserve"> </w:t>
      </w:r>
      <w:r w:rsidRPr="003B6F7B">
        <w:t>Sessions:</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Second level cashes;</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Connection pools;</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Transaction system integrations.</w:t>
      </w:r>
    </w:p>
    <w:p w:rsidR="00A237E5" w:rsidRDefault="00A237E5" w:rsidP="00617F4E">
      <w:pPr>
        <w:pStyle w:val="NormalWeb"/>
        <w:spacing w:before="0" w:beforeAutospacing="0" w:after="0" w:afterAutospacing="0"/>
        <w:ind w:left="1287" w:firstLine="0"/>
        <w:rPr>
          <w:noProof/>
          <w:lang w:val="en-US"/>
        </w:rPr>
      </w:pPr>
    </w:p>
    <w:p w:rsidR="007007DF" w:rsidRPr="007007DF" w:rsidRDefault="007007DF" w:rsidP="007007DF">
      <w:pPr>
        <w:pStyle w:val="NormalWeb"/>
        <w:spacing w:before="0" w:beforeAutospacing="0" w:after="0" w:afterAutospacing="0"/>
        <w:rPr>
          <w:lang w:val="en-US"/>
        </w:rPr>
      </w:pPr>
      <w:r>
        <w:t>При</w:t>
      </w:r>
      <w:r w:rsidRPr="007007DF">
        <w:rPr>
          <w:lang w:val="en-US"/>
        </w:rPr>
        <w:t xml:space="preserve"> </w:t>
      </w:r>
      <w:r>
        <w:t>создании</w:t>
      </w:r>
      <w:r w:rsidRPr="007007DF">
        <w:rPr>
          <w:lang w:val="en-US"/>
        </w:rPr>
        <w:t xml:space="preserve"> </w:t>
      </w:r>
      <w:r>
        <w:rPr>
          <w:lang w:val="en-US"/>
        </w:rPr>
        <w:t>EntityManagerFactory</w:t>
      </w:r>
      <w:r w:rsidRPr="007007DF">
        <w:rPr>
          <w:lang w:val="en-US"/>
        </w:rPr>
        <w:t xml:space="preserve"> </w:t>
      </w:r>
      <w:r>
        <w:t>с</w:t>
      </w:r>
      <w:r w:rsidRPr="007007DF">
        <w:rPr>
          <w:lang w:val="en-US"/>
        </w:rPr>
        <w:t xml:space="preserve"> </w:t>
      </w:r>
      <w:r>
        <w:t>автогенерацией</w:t>
      </w:r>
      <w:r w:rsidRPr="007007DF">
        <w:rPr>
          <w:lang w:val="en-US"/>
        </w:rPr>
        <w:t xml:space="preserve"> </w:t>
      </w:r>
      <w:r>
        <w:rPr>
          <w:lang w:val="en-US"/>
        </w:rPr>
        <w:t>DB</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rFonts w:ascii="Consolas" w:hAnsi="Consolas" w:cs="Consolas"/>
          <w:i/>
          <w:iCs/>
          <w:color w:val="2A00FF"/>
          <w:sz w:val="20"/>
          <w:szCs w:val="20"/>
          <w:shd w:val="clear" w:color="auto" w:fill="E8F2FE"/>
          <w:lang w:val="en-US" w:eastAsia="en-US"/>
        </w:rPr>
        <w:t xml:space="preserve"> = </w:t>
      </w:r>
      <w:r>
        <w:rPr>
          <w:rFonts w:ascii="Consolas" w:hAnsi="Consolas" w:cs="Consolas"/>
          <w:i/>
          <w:iCs/>
          <w:color w:val="2A00FF"/>
          <w:sz w:val="20"/>
          <w:szCs w:val="20"/>
          <w:shd w:val="clear" w:color="auto" w:fill="E8F2FE"/>
          <w:lang w:val="en-US" w:eastAsia="en-US"/>
        </w:rPr>
        <w:t>update</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or</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create</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or</w:t>
      </w:r>
      <w:r w:rsidRPr="007007DF">
        <w:rPr>
          <w:rFonts w:ascii="Consolas" w:hAnsi="Consolas" w:cs="Consolas"/>
          <w:i/>
          <w:iCs/>
          <w:color w:val="2A00FF"/>
          <w:sz w:val="20"/>
          <w:szCs w:val="20"/>
          <w:shd w:val="clear" w:color="auto" w:fill="E8F2FE"/>
          <w:lang w:val="en-US" w:eastAsia="en-US"/>
        </w:rPr>
        <w:t xml:space="preserve"> …</w:t>
      </w:r>
      <w:r w:rsidRPr="007007DF">
        <w:rPr>
          <w:lang w:val="en-US"/>
        </w:rPr>
        <w:t xml:space="preserve">) </w:t>
      </w:r>
      <w:r>
        <w:t>генерация</w:t>
      </w:r>
      <w:r w:rsidRPr="007007DF">
        <w:rPr>
          <w:lang w:val="en-US"/>
        </w:rPr>
        <w:t xml:space="preserve"> </w:t>
      </w:r>
      <w:r>
        <w:t>происходит</w:t>
      </w:r>
      <w:r w:rsidRPr="007007DF">
        <w:rPr>
          <w:lang w:val="en-US"/>
        </w:rPr>
        <w:t xml:space="preserve"> </w:t>
      </w:r>
      <w:r>
        <w:t>в</w:t>
      </w:r>
      <w:r w:rsidRPr="007007DF">
        <w:rPr>
          <w:lang w:val="en-US"/>
        </w:rPr>
        <w:t xml:space="preserve"> </w:t>
      </w:r>
      <w:r>
        <w:t>момент</w:t>
      </w:r>
      <w:r w:rsidRPr="007007DF">
        <w:rPr>
          <w:lang w:val="en-US"/>
        </w:rPr>
        <w:t xml:space="preserve"> </w:t>
      </w:r>
      <w:r>
        <w:t>создания</w:t>
      </w:r>
      <w:r w:rsidRPr="007007DF">
        <w:rPr>
          <w:lang w:val="en-US"/>
        </w:rPr>
        <w:t xml:space="preserve"> </w:t>
      </w:r>
      <w:r>
        <w:rPr>
          <w:lang w:val="en-US"/>
        </w:rPr>
        <w:t>EntityManagerFactory</w:t>
      </w:r>
      <w:r w:rsidRPr="007007DF">
        <w:rPr>
          <w:lang w:val="en-US"/>
        </w:rPr>
        <w:t xml:space="preserve"> (</w:t>
      </w:r>
      <w:r>
        <w:t>Была</w:t>
      </w:r>
      <w:r w:rsidRPr="007007DF">
        <w:rPr>
          <w:lang w:val="en-US"/>
        </w:rPr>
        <w:t xml:space="preserve"> </w:t>
      </w:r>
      <w:r>
        <w:t>ошибка</w:t>
      </w:r>
      <w:r w:rsidRPr="007007DF">
        <w:rPr>
          <w:lang w:val="en-US"/>
        </w:rPr>
        <w:t xml:space="preserve"> </w:t>
      </w:r>
      <w:r>
        <w:t>у</w:t>
      </w:r>
      <w:r w:rsidRPr="007007DF">
        <w:rPr>
          <w:lang w:val="en-US"/>
        </w:rPr>
        <w:t xml:space="preserve"> </w:t>
      </w:r>
      <w:r>
        <w:t>меня</w:t>
      </w:r>
      <w:r w:rsidRPr="007007DF">
        <w:rPr>
          <w:lang w:val="en-US"/>
        </w:rPr>
        <w:t xml:space="preserve">, </w:t>
      </w:r>
      <w:r>
        <w:t>когда</w:t>
      </w:r>
      <w:r w:rsidRPr="007007DF">
        <w:rPr>
          <w:lang w:val="en-US"/>
        </w:rPr>
        <w:t xml:space="preserve"> </w:t>
      </w:r>
      <w:r>
        <w:t>я</w:t>
      </w:r>
      <w:r w:rsidRPr="007007DF">
        <w:rPr>
          <w:lang w:val="en-US"/>
        </w:rPr>
        <w:t xml:space="preserve"> </w:t>
      </w:r>
      <w:r>
        <w:t>первый</w:t>
      </w:r>
      <w:r w:rsidRPr="007007DF">
        <w:rPr>
          <w:lang w:val="en-US"/>
        </w:rPr>
        <w:t xml:space="preserve"> </w:t>
      </w:r>
      <w:r>
        <w:t>раз</w:t>
      </w:r>
      <w:r w:rsidRPr="007007DF">
        <w:rPr>
          <w:lang w:val="en-US"/>
        </w:rPr>
        <w:t xml:space="preserve"> </w:t>
      </w:r>
      <w:r>
        <w:t>строил</w:t>
      </w:r>
      <w:r w:rsidRPr="007007DF">
        <w:rPr>
          <w:lang w:val="en-US"/>
        </w:rPr>
        <w:t xml:space="preserve"> </w:t>
      </w:r>
      <w:r>
        <w:t>фэктори</w:t>
      </w:r>
      <w:r w:rsidRPr="007007DF">
        <w:rPr>
          <w:lang w:val="en-US"/>
        </w:rPr>
        <w:t xml:space="preserve"> </w:t>
      </w:r>
      <w:r>
        <w:t>с</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lang w:val="en-US"/>
        </w:rPr>
        <w:t xml:space="preserve"> = </w:t>
      </w:r>
      <w:r>
        <w:rPr>
          <w:lang w:val="en-US"/>
        </w:rPr>
        <w:t>update</w:t>
      </w:r>
      <w:r w:rsidRPr="007007DF">
        <w:rPr>
          <w:lang w:val="en-US"/>
        </w:rPr>
        <w:t xml:space="preserve"> (</w:t>
      </w:r>
      <w:r>
        <w:t>стандарт</w:t>
      </w:r>
      <w:r w:rsidRPr="007007DF">
        <w:rPr>
          <w:lang w:val="en-US"/>
        </w:rPr>
        <w:t xml:space="preserve"> </w:t>
      </w:r>
      <w:r>
        <w:t>для</w:t>
      </w:r>
      <w:r w:rsidRPr="007007DF">
        <w:rPr>
          <w:lang w:val="en-US"/>
        </w:rPr>
        <w:t xml:space="preserve"> </w:t>
      </w:r>
      <w:r>
        <w:t>большинства</w:t>
      </w:r>
      <w:r w:rsidRPr="007007DF">
        <w:rPr>
          <w:lang w:val="en-US"/>
        </w:rPr>
        <w:t xml:space="preserve"> </w:t>
      </w:r>
      <w:r>
        <w:t>учебных</w:t>
      </w:r>
      <w:r w:rsidRPr="007007DF">
        <w:rPr>
          <w:lang w:val="en-US"/>
        </w:rPr>
        <w:t xml:space="preserve"> </w:t>
      </w:r>
      <w:r>
        <w:t>примеров</w:t>
      </w:r>
      <w:r w:rsidRPr="007007DF">
        <w:rPr>
          <w:lang w:val="en-US"/>
        </w:rPr>
        <w:t xml:space="preserve">), </w:t>
      </w:r>
      <w:r w:rsidRPr="007007DF">
        <w:t>а</w:t>
      </w:r>
      <w:r w:rsidRPr="007007DF">
        <w:rPr>
          <w:lang w:val="en-US"/>
        </w:rPr>
        <w:t xml:space="preserve"> </w:t>
      </w:r>
      <w:r w:rsidRPr="007007DF">
        <w:t>потом</w:t>
      </w:r>
      <w:r w:rsidRPr="007007DF">
        <w:rPr>
          <w:lang w:val="en-US"/>
        </w:rPr>
        <w:t xml:space="preserve"> </w:t>
      </w:r>
      <w:r>
        <w:t>для</w:t>
      </w:r>
      <w:r w:rsidRPr="007007DF">
        <w:rPr>
          <w:lang w:val="en-US"/>
        </w:rPr>
        <w:t xml:space="preserve"> </w:t>
      </w:r>
      <w:r>
        <w:t>одного</w:t>
      </w:r>
      <w:r w:rsidRPr="007007DF">
        <w:rPr>
          <w:lang w:val="en-US"/>
        </w:rPr>
        <w:t xml:space="preserve"> </w:t>
      </w:r>
      <w:r>
        <w:t>из</w:t>
      </w:r>
      <w:r w:rsidRPr="007007DF">
        <w:rPr>
          <w:lang w:val="en-US"/>
        </w:rPr>
        <w:t xml:space="preserve"> </w:t>
      </w:r>
      <w:r>
        <w:t>примеров</w:t>
      </w:r>
      <w:r w:rsidRPr="007007DF">
        <w:rPr>
          <w:lang w:val="en-US"/>
        </w:rPr>
        <w:t xml:space="preserve"> </w:t>
      </w:r>
      <w:r>
        <w:t>перестраивал</w:t>
      </w:r>
      <w:r w:rsidRPr="007007DF">
        <w:rPr>
          <w:lang w:val="en-US"/>
        </w:rPr>
        <w:t xml:space="preserve"> </w:t>
      </w:r>
      <w:r>
        <w:t>фэктори</w:t>
      </w:r>
      <w:r w:rsidRPr="007007DF">
        <w:rPr>
          <w:lang w:val="en-US"/>
        </w:rPr>
        <w:t xml:space="preserve"> </w:t>
      </w:r>
      <w:r>
        <w:t>с</w:t>
      </w:r>
      <w:r w:rsidRPr="007007DF">
        <w:rPr>
          <w:lang w:val="en-US"/>
        </w:rPr>
        <w:t xml:space="preserve"> </w:t>
      </w:r>
      <w:r>
        <w:t>другими</w:t>
      </w:r>
      <w:r w:rsidRPr="007007DF">
        <w:rPr>
          <w:lang w:val="en-US"/>
        </w:rPr>
        <w:t xml:space="preserve"> </w:t>
      </w:r>
      <w:r>
        <w:t>параметрами</w:t>
      </w:r>
      <w:r w:rsidRPr="007007DF">
        <w:rPr>
          <w:lang w:val="en-US"/>
        </w:rPr>
        <w:t xml:space="preserve">, </w:t>
      </w:r>
      <w:r>
        <w:t>один</w:t>
      </w:r>
      <w:r w:rsidRPr="007007DF">
        <w:rPr>
          <w:lang w:val="en-US"/>
        </w:rPr>
        <w:t xml:space="preserve"> </w:t>
      </w:r>
      <w:r>
        <w:t>из</w:t>
      </w:r>
      <w:r w:rsidRPr="007007DF">
        <w:rPr>
          <w:lang w:val="en-US"/>
        </w:rPr>
        <w:t xml:space="preserve"> </w:t>
      </w:r>
      <w:r>
        <w:t>которых</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lang w:val="en-US"/>
        </w:rPr>
        <w:t xml:space="preserve"> =</w:t>
      </w:r>
      <w:r w:rsidRPr="007007DF">
        <w:rPr>
          <w:lang w:val="en-US"/>
        </w:rPr>
        <w:t xml:space="preserve"> </w:t>
      </w:r>
      <w:r>
        <w:rPr>
          <w:lang w:val="en-US"/>
        </w:rPr>
        <w:t xml:space="preserve">none. </w:t>
      </w:r>
      <w:r>
        <w:t xml:space="preserve">Потом гадал, почему идет генерация </w:t>
      </w:r>
      <w:r>
        <w:rPr>
          <w:lang w:val="en-US"/>
        </w:rPr>
        <w:t>DDL</w:t>
      </w:r>
      <w:bookmarkStart w:id="2" w:name="_GoBack"/>
      <w:bookmarkEnd w:id="2"/>
      <w:r w:rsidRPr="007007DF">
        <w:rPr>
          <w:lang w:val="en-US"/>
        </w:rPr>
        <w:t>).</w:t>
      </w:r>
    </w:p>
    <w:p w:rsidR="007007DF" w:rsidRPr="007007DF" w:rsidRDefault="007007DF" w:rsidP="007007DF">
      <w:pPr>
        <w:pStyle w:val="NormalWeb"/>
        <w:spacing w:before="0" w:beforeAutospacing="0" w:after="0" w:afterAutospacing="0"/>
        <w:rPr>
          <w:lang w:val="en-US"/>
        </w:rPr>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3" w:name="_Toc67315921"/>
      <w:r w:rsidRPr="00FE4AEE">
        <w:rPr>
          <w:noProof/>
          <w:sz w:val="36"/>
          <w:szCs w:val="36"/>
          <w:lang w:val="en-US"/>
        </w:rPr>
        <w:t>MAPPING TYPES</w:t>
      </w:r>
      <w:bookmarkEnd w:id="3"/>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B64F1C">
        <w:rPr>
          <w:b/>
          <w:color w:val="0070C0"/>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C32B5A">
        <w:rPr>
          <w:b/>
          <w:color w:val="0070C0"/>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941C6F" w:rsidRDefault="00A237E5" w:rsidP="007D21E0">
      <w:pPr>
        <w:numPr>
          <w:ilvl w:val="0"/>
          <w:numId w:val="5"/>
        </w:numPr>
        <w:rPr>
          <w:noProof/>
          <w:lang w:val="en-US"/>
        </w:rPr>
      </w:pPr>
      <w:r w:rsidRPr="00C32B5A">
        <w:rPr>
          <w:b/>
          <w:color w:val="0070C0"/>
        </w:rPr>
        <w:t>Basic types</w:t>
      </w:r>
      <w:r w:rsidRPr="00941C6F">
        <w:rPr>
          <w:noProof/>
          <w:lang w:val="en-US"/>
        </w:rPr>
        <w:t xml:space="preserve">. </w:t>
      </w:r>
    </w:p>
    <w:p w:rsidR="00A237E5" w:rsidRPr="00941C6F" w:rsidRDefault="00A237E5" w:rsidP="007D21E0">
      <w:pPr>
        <w:numPr>
          <w:ilvl w:val="0"/>
          <w:numId w:val="5"/>
        </w:numPr>
        <w:rPr>
          <w:noProof/>
          <w:lang w:val="en-US"/>
        </w:rPr>
      </w:pPr>
      <w:r w:rsidRPr="00C32B5A">
        <w:rPr>
          <w:b/>
          <w:color w:val="0070C0"/>
        </w:rPr>
        <w:t>Embeddable types</w:t>
      </w:r>
      <w:r w:rsidRPr="00941C6F">
        <w:rPr>
          <w:noProof/>
          <w:lang w:val="en-US"/>
        </w:rPr>
        <w:t>.</w:t>
      </w:r>
    </w:p>
    <w:p w:rsidR="00A237E5" w:rsidRPr="00941C6F" w:rsidRDefault="00A237E5" w:rsidP="007D21E0">
      <w:pPr>
        <w:numPr>
          <w:ilvl w:val="0"/>
          <w:numId w:val="5"/>
        </w:numPr>
        <w:rPr>
          <w:noProof/>
          <w:lang w:val="en-US"/>
        </w:rPr>
      </w:pPr>
      <w:r w:rsidRPr="00C32B5A">
        <w:rPr>
          <w:b/>
          <w:color w:val="0070C0"/>
        </w:rPr>
        <w:t>Collection types</w:t>
      </w:r>
      <w:r w:rsidRPr="00941C6F">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4" w:name="_Toc67315922"/>
      <w:r w:rsidRPr="00FE4AEE">
        <w:rPr>
          <w:noProof/>
          <w:sz w:val="36"/>
          <w:szCs w:val="36"/>
          <w:lang w:val="en-US"/>
        </w:rPr>
        <w:t>VALUE TYPES (BASIC)</w:t>
      </w:r>
      <w:bookmarkEnd w:id="4"/>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9232A3">
            <w:pPr>
              <w:ind w:firstLine="0"/>
              <w:jc w:val="center"/>
              <w:rPr>
                <w:b/>
                <w:bCs/>
                <w:noProof/>
                <w:lang w:val="en-US"/>
              </w:rPr>
            </w:pPr>
            <w:r w:rsidRPr="00FE4AEE">
              <w:rPr>
                <w:b/>
                <w:bCs/>
                <w:noProof/>
                <w:lang w:val="en-US"/>
              </w:rPr>
              <w:t>(general SQL)</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C90325"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303D2" w:rsidRDefault="00A237E5" w:rsidP="00B43F16">
      <w:pPr>
        <w:spacing w:before="120"/>
        <w:rPr>
          <w:rStyle w:val="Strong"/>
          <w:b w:val="0"/>
          <w:bCs/>
          <w:noProof/>
        </w:rPr>
      </w:pPr>
      <w:r w:rsidRPr="008303D2">
        <w:rPr>
          <w:noProof/>
        </w:rPr>
        <w:t xml:space="preserve">Аннотация </w:t>
      </w:r>
      <w:r w:rsidRPr="008303D2">
        <w:rPr>
          <w:b/>
          <w:noProof/>
        </w:rPr>
        <w:t>@</w:t>
      </w:r>
      <w:r w:rsidRPr="00FE4AEE">
        <w:rPr>
          <w:b/>
          <w:noProof/>
          <w:lang w:val="en-US"/>
        </w:rPr>
        <w:t>basic</w:t>
      </w:r>
      <w:r w:rsidRPr="008303D2">
        <w:rPr>
          <w:noProof/>
        </w:rPr>
        <w:t xml:space="preserve"> определяет базовые типы, и так как она является аннотацией по умолчанию, то определять ее для базовых типов не нужно.</w:t>
      </w:r>
      <w:r w:rsidRPr="00FE4AEE">
        <w:rPr>
          <w:rStyle w:val="Strong"/>
          <w:b w:val="0"/>
          <w:bCs/>
          <w:noProof/>
          <w:lang w:val="en-US"/>
        </w:rPr>
        <w:t>The</w:t>
      </w:r>
      <w:r w:rsidRPr="008303D2">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303D2">
        <w:rPr>
          <w:rStyle w:val="Strong"/>
          <w:b w:val="0"/>
          <w:bCs/>
          <w:noProof/>
        </w:rPr>
        <w:t>'</w:t>
      </w:r>
      <w:r w:rsidRPr="00FE4AEE">
        <w:rPr>
          <w:rStyle w:val="Strong"/>
          <w:b w:val="0"/>
          <w:bCs/>
          <w:noProof/>
          <w:lang w:val="en-US"/>
        </w:rPr>
        <w:t>sabasictypeandHibernateshouldusethestandardmappingforitspersistence</w:t>
      </w:r>
      <w:r w:rsidRPr="008303D2">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ab/>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8303D2">
        <w:rPr>
          <w:noProof/>
        </w:rPr>
        <w:t>Примечание: можно создавать типы, которые, например, будут сохранять одно поле в несколько колонок(</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Pr="008303D2" w:rsidRDefault="00A237E5" w:rsidP="002B5398">
      <w:pPr>
        <w:spacing w:before="12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3"/>
      <w:r w:rsidRPr="00FE4AEE">
        <w:rPr>
          <w:noProof/>
          <w:sz w:val="36"/>
          <w:szCs w:val="36"/>
          <w:lang w:val="en-US"/>
        </w:rPr>
        <w:lastRenderedPageBreak/>
        <w:t>MAPPING ENUMS</w:t>
      </w:r>
      <w:bookmarkEnd w:id="5"/>
    </w:p>
    <w:p w:rsidR="00A237E5" w:rsidRPr="008303D2" w:rsidRDefault="00A237E5" w:rsidP="005D46CB">
      <w:pPr>
        <w:spacing w:before="120"/>
        <w:rPr>
          <w:noProof/>
        </w:rPr>
      </w:pPr>
      <w:r w:rsidRPr="00FE4AEE">
        <w:rPr>
          <w:noProof/>
          <w:lang w:val="en-US"/>
        </w:rPr>
        <w:t>Hibernate</w:t>
      </w:r>
      <w:r w:rsidRPr="008303D2">
        <w:rPr>
          <w:noProof/>
        </w:rPr>
        <w:t xml:space="preserve"> позволяет отображать </w:t>
      </w:r>
      <w:r w:rsidRPr="00FE4AEE">
        <w:rPr>
          <w:noProof/>
          <w:lang w:val="en-US"/>
        </w:rPr>
        <w:t>Enum</w:t>
      </w:r>
      <w:r w:rsidRPr="008303D2">
        <w:rPr>
          <w:noProof/>
        </w:rPr>
        <w:t xml:space="preserve">-тип в качестве базового. Для этого используется аннотация </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Enumerated</w:t>
      </w:r>
      <w:r w:rsidRPr="008303D2">
        <w:rPr>
          <w:noProof/>
        </w:rPr>
        <w:t xml:space="preserve">с параметром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ORDINAL</w:t>
      </w:r>
      <w:r w:rsidRPr="008303D2">
        <w:rPr>
          <w:rStyle w:val="HTMLCode"/>
          <w:rFonts w:ascii="Times New Roman" w:hAnsi="Times New Roman"/>
          <w:noProof/>
          <w:szCs w:val="20"/>
        </w:rPr>
        <w:t xml:space="preserve"> или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STRING</w:t>
      </w:r>
      <w:r w:rsidRPr="008303D2">
        <w:rPr>
          <w:rStyle w:val="HTMLCode"/>
          <w:rFonts w:ascii="Times New Roman" w:hAnsi="Times New Roman"/>
          <w:noProof/>
          <w:szCs w:val="20"/>
        </w:rPr>
        <w:t xml:space="preserve">. </w:t>
      </w:r>
      <w:r w:rsidRPr="008303D2">
        <w:rPr>
          <w:noProof/>
        </w:rPr>
        <w:t>В первом случае поле будет сохранено как число, во втором как строка.</w:t>
      </w:r>
    </w:p>
    <w:p w:rsidR="00A237E5" w:rsidRPr="008303D2" w:rsidRDefault="00A237E5" w:rsidP="005D46CB">
      <w:pPr>
        <w:spacing w:before="120"/>
        <w:rPr>
          <w:noProof/>
        </w:rPr>
      </w:pPr>
      <w:r w:rsidRPr="008303D2">
        <w:rPr>
          <w:noProof/>
        </w:rPr>
        <w:t xml:space="preserve">Можно также замапить </w:t>
      </w:r>
      <w:r w:rsidRPr="00FE4AEE">
        <w:rPr>
          <w:noProof/>
          <w:lang w:val="en-US"/>
        </w:rPr>
        <w:t>Enum</w:t>
      </w:r>
      <w:r w:rsidRPr="008303D2">
        <w:rPr>
          <w:noProof/>
        </w:rPr>
        <w:t>с помощью пользовательского типа (</w:t>
      </w:r>
      <w:r w:rsidRPr="00FE4AEE">
        <w:rPr>
          <w:noProof/>
          <w:lang w:val="en-US"/>
        </w:rPr>
        <w:t>customtypes</w:t>
      </w:r>
      <w:r w:rsidRPr="008303D2">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4"/>
      <w:r w:rsidRPr="00FE4AEE">
        <w:rPr>
          <w:noProof/>
          <w:sz w:val="36"/>
          <w:szCs w:val="36"/>
          <w:lang w:val="en-US"/>
        </w:rPr>
        <w:t>ATTRIBUTE CONVERTOR</w:t>
      </w:r>
      <w:bookmarkEnd w:id="6"/>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11"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5"/>
      <w:r w:rsidRPr="00FE4AEE">
        <w:rPr>
          <w:noProof/>
          <w:sz w:val="36"/>
          <w:szCs w:val="36"/>
          <w:lang w:val="en-US"/>
        </w:rPr>
        <w:t>MAPPING LARGE OBJECTS (LOB)</w:t>
      </w:r>
      <w:bookmarkEnd w:id="7"/>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t xml:space="preserve">Addition read - </w:t>
      </w:r>
      <w:hyperlink r:id="rId12"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8" w:name="_Toc67315926"/>
      <w:r w:rsidRPr="00FE4AEE">
        <w:rPr>
          <w:noProof/>
          <w:sz w:val="36"/>
          <w:szCs w:val="36"/>
          <w:lang w:val="en-US"/>
        </w:rPr>
        <w:t>MAPPING NATIONALIZED CHARACTER DATA</w:t>
      </w:r>
      <w:bookmarkEnd w:id="8"/>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lastRenderedPageBreak/>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9" w:name="_Toc67315927"/>
      <w:r w:rsidRPr="00FE4AEE">
        <w:rPr>
          <w:noProof/>
          <w:sz w:val="36"/>
          <w:szCs w:val="36"/>
          <w:lang w:val="en-US"/>
        </w:rPr>
        <w:t>MAPPING UUID VALUES</w:t>
      </w:r>
      <w:bookmarkEnd w:id="9"/>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10" w:name="_Toc67315928"/>
      <w:r w:rsidRPr="00FE4AEE">
        <w:rPr>
          <w:noProof/>
          <w:sz w:val="36"/>
          <w:szCs w:val="36"/>
          <w:lang w:val="en-US"/>
        </w:rPr>
        <w:t>MAPPING DATA/TIME VALUES</w:t>
      </w:r>
      <w:bookmarkEnd w:id="10"/>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1" w:name="_Toc67315929"/>
      <w:r w:rsidRPr="00FE4AEE">
        <w:rPr>
          <w:noProof/>
          <w:sz w:val="36"/>
          <w:szCs w:val="36"/>
          <w:lang w:val="en-US"/>
        </w:rPr>
        <w:t>VALUE TYPES (EMBEDDABLE)</w:t>
      </w:r>
      <w:bookmarkEnd w:id="11"/>
    </w:p>
    <w:p w:rsidR="00A237E5" w:rsidRPr="008303D2" w:rsidRDefault="00A237E5" w:rsidP="00734EA4">
      <w:pPr>
        <w:spacing w:before="120" w:after="240"/>
        <w:rPr>
          <w:noProof/>
        </w:rPr>
      </w:pPr>
      <w:r w:rsidRPr="00FE4AEE">
        <w:rPr>
          <w:noProof/>
          <w:lang w:val="en-US"/>
        </w:rPr>
        <w:lastRenderedPageBreak/>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3"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4"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2" w:name="_Toc67315930"/>
      <w:r w:rsidRPr="00FE4AEE">
        <w:rPr>
          <w:noProof/>
          <w:sz w:val="36"/>
          <w:szCs w:val="36"/>
          <w:lang w:val="en-US"/>
        </w:rPr>
        <w:t>ENTITY TYPES</w:t>
      </w:r>
      <w:bookmarkEnd w:id="12"/>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lastRenderedPageBreak/>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3" w:name="_Toc67315931"/>
      <w:r w:rsidRPr="00FE4AEE">
        <w:rPr>
          <w:noProof/>
          <w:sz w:val="36"/>
          <w:szCs w:val="36"/>
          <w:lang w:val="en-US"/>
        </w:rPr>
        <w:t>Implementing equals() and hashCode()</w:t>
      </w:r>
      <w:bookmarkEnd w:id="13"/>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4" w:name="_Toc67315932"/>
      <w:r w:rsidRPr="00FE4AEE">
        <w:rPr>
          <w:noProof/>
          <w:sz w:val="36"/>
          <w:szCs w:val="36"/>
          <w:lang w:val="en-US"/>
        </w:rPr>
        <w:t>Mapping the entity to a SQL query</w:t>
      </w:r>
      <w:bookmarkEnd w:id="14"/>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5" w:name="_Toc67315933"/>
      <w:r w:rsidRPr="00FE4AEE">
        <w:rPr>
          <w:noProof/>
          <w:sz w:val="36"/>
          <w:szCs w:val="36"/>
          <w:lang w:val="en-US"/>
        </w:rPr>
        <w:t>Definea custom entity proxy</w:t>
      </w:r>
      <w:bookmarkEnd w:id="15"/>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5"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67315934"/>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5"/>
      <w:r w:rsidRPr="00FE4AEE">
        <w:rPr>
          <w:noProof/>
          <w:sz w:val="36"/>
          <w:szCs w:val="36"/>
          <w:lang w:val="en-US"/>
        </w:rPr>
        <w:lastRenderedPageBreak/>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6"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67315936"/>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67315937"/>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67315938"/>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17"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8"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lastRenderedPageBreak/>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67315939"/>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lastRenderedPageBreak/>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t>GENERATEDPROPERTIES</w:t>
      </w:r>
      <w:bookmarkEnd w:id="28"/>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lastRenderedPageBreak/>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19"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lastRenderedPageBreak/>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C90325"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0"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lastRenderedPageBreak/>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lastRenderedPageBreak/>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lastRenderedPageBreak/>
        <w:t xml:space="preserve">However, if you really need to use a bidirectional association and want to make sure that this is always going to be fetched lazily, then you need to enable lazy state initialization bytecode enhancement and use the </w:t>
      </w:r>
      <w:hyperlink r:id="rId21"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2"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lastRenderedPageBreak/>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lastRenderedPageBreak/>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4"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lastRenderedPageBreak/>
        <w:t xml:space="preserve">@OrderBy - </w:t>
      </w:r>
      <w:r w:rsidRPr="00FE4AEE">
        <w:rPr>
          <w:noProof/>
          <w:lang w:val="en-US"/>
        </w:rPr>
        <w:t xml:space="preserve">While the JPA </w:t>
      </w:r>
      <w:hyperlink r:id="rId25"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6"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7"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lastRenderedPageBreak/>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8"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lastRenderedPageBreak/>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lastRenderedPageBreak/>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29"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0"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1"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lastRenderedPageBreak/>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2"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3"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lastRenderedPageBreak/>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4"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5"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6"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7"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8"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39"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0"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1"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2"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3"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lastRenderedPageBreak/>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4"/>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5"/>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6"/>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7007DF" w:rsidP="00FC0410">
      <w:pPr>
        <w:pStyle w:val="NormalWeb"/>
        <w:numPr>
          <w:ilvl w:val="0"/>
          <w:numId w:val="64"/>
        </w:numPr>
        <w:rPr>
          <w:noProof/>
          <w:lang w:val="en-US"/>
        </w:rPr>
      </w:pPr>
      <w:hyperlink r:id="rId47" w:history="1">
        <w:r w:rsidR="00FC0410" w:rsidRPr="00FE4AEE">
          <w:rPr>
            <w:rStyle w:val="Hyperlink"/>
            <w:noProof/>
            <w:lang w:val="en-US"/>
          </w:rPr>
          <w:t>https://vladmihalcea.com/a-beginners-guide-to-transaction-isolation-levels-in-enterprise-java/</w:t>
        </w:r>
      </w:hyperlink>
    </w:p>
    <w:p w:rsidR="00FC0410" w:rsidRPr="00FE4AEE" w:rsidRDefault="007007DF" w:rsidP="00FC0410">
      <w:pPr>
        <w:pStyle w:val="NormalWeb"/>
        <w:numPr>
          <w:ilvl w:val="0"/>
          <w:numId w:val="64"/>
        </w:numPr>
        <w:rPr>
          <w:noProof/>
          <w:lang w:val="en-US"/>
        </w:rPr>
      </w:pPr>
      <w:hyperlink r:id="rId48" w:history="1">
        <w:r w:rsidR="00FC0410" w:rsidRPr="00FE4AEE">
          <w:rPr>
            <w:rStyle w:val="Hyperlink"/>
            <w:noProof/>
            <w:lang w:val="en-US"/>
          </w:rPr>
          <w:t>https://vladmihalcea.com/a-beginners-guide-to-acid-and-database-transactions/</w:t>
        </w:r>
      </w:hyperlink>
    </w:p>
    <w:p w:rsidR="00FC0410" w:rsidRPr="00FE4AEE" w:rsidRDefault="007007DF" w:rsidP="00FC0410">
      <w:pPr>
        <w:pStyle w:val="NormalWeb"/>
        <w:numPr>
          <w:ilvl w:val="0"/>
          <w:numId w:val="64"/>
        </w:numPr>
        <w:rPr>
          <w:noProof/>
          <w:lang w:val="en-US"/>
        </w:rPr>
      </w:pPr>
      <w:hyperlink r:id="rId49"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0"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1"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lastRenderedPageBreak/>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2"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7007DF" w:rsidP="00C375DD">
      <w:pPr>
        <w:numPr>
          <w:ilvl w:val="0"/>
          <w:numId w:val="65"/>
        </w:numPr>
        <w:rPr>
          <w:b/>
          <w:bCs/>
          <w:noProof/>
          <w:lang w:val="en-US" w:eastAsia="en-US"/>
        </w:rPr>
      </w:pPr>
      <w:hyperlink r:id="rId53"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7007DF" w:rsidP="00C375DD">
      <w:pPr>
        <w:numPr>
          <w:ilvl w:val="0"/>
          <w:numId w:val="65"/>
        </w:numPr>
        <w:rPr>
          <w:b/>
          <w:bCs/>
          <w:noProof/>
          <w:lang w:val="en-US" w:eastAsia="en-US"/>
        </w:rPr>
      </w:pPr>
      <w:hyperlink r:id="rId54"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 xml:space="preserve">A version or timestamp property can never be null for a detached instance. Hibernate detects any instance with a null version or timestamp as transient, regardless of other unsaved-value strategies that </w:t>
      </w:r>
      <w:r w:rsidRPr="00FE4AEE">
        <w:rPr>
          <w:noProof/>
          <w:lang w:val="en-US" w:eastAsia="en-US"/>
        </w:rPr>
        <w:lastRenderedPageBreak/>
        <w:t>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5"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6"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7"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lastRenderedPageBreak/>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8"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C9032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lastRenderedPageBreak/>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59"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0"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w:t>
      </w:r>
      <w:r w:rsidRPr="00FE4AEE">
        <w:rPr>
          <w:noProof/>
          <w:lang w:val="en-US" w:eastAsia="en-US"/>
        </w:rPr>
        <w:lastRenderedPageBreak/>
        <w:t>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1"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2"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lastRenderedPageBreak/>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3"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4"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5" w:history="1">
        <w:r w:rsidRPr="00FE4AEE">
          <w:rPr>
            <w:i/>
            <w:noProof/>
            <w:lang w:val="en-US"/>
          </w:rPr>
          <w:t>FetchType</w:t>
        </w:r>
      </w:hyperlink>
      <w:r w:rsidRPr="00FE4AEE">
        <w:rPr>
          <w:i/>
          <w:noProof/>
          <w:lang w:val="en-US"/>
        </w:rPr>
        <w:t xml:space="preserve"> attribute of the </w:t>
      </w:r>
      <w:hyperlink r:id="rId66" w:anchor="annotations-jpa-elementcollection" w:history="1">
        <w:r w:rsidRPr="00FE4AEE">
          <w:rPr>
            <w:i/>
            <w:noProof/>
            <w:lang w:val="en-US"/>
          </w:rPr>
          <w:t>@ElementCollection</w:t>
        </w:r>
      </w:hyperlink>
      <w:r w:rsidRPr="00FE4AEE">
        <w:rPr>
          <w:i/>
          <w:noProof/>
          <w:lang w:val="en-US"/>
        </w:rPr>
        <w:t xml:space="preserve">, </w:t>
      </w:r>
      <w:hyperlink r:id="rId67" w:anchor="annotations-jpa-onetomany" w:history="1">
        <w:r w:rsidRPr="00FE4AEE">
          <w:rPr>
            <w:i/>
            <w:noProof/>
            <w:lang w:val="en-US"/>
          </w:rPr>
          <w:t>@OneToMany</w:t>
        </w:r>
      </w:hyperlink>
      <w:r w:rsidRPr="00FE4AEE">
        <w:rPr>
          <w:i/>
          <w:noProof/>
          <w:lang w:val="en-US"/>
        </w:rPr>
        <w:t xml:space="preserve">, or </w:t>
      </w:r>
      <w:hyperlink r:id="rId68"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lastRenderedPageBreak/>
        <w:t>DEPRECATED!</w:t>
      </w:r>
      <w:r w:rsidRPr="00FE4AEE">
        <w:rPr>
          <w:i/>
          <w:noProof/>
          <w:lang w:val="en-US"/>
        </w:rPr>
        <w:t xml:space="preserve"> Should be using the JPA </w:t>
      </w:r>
      <w:hyperlink r:id="rId69" w:history="1">
        <w:r w:rsidRPr="00FE4AEE">
          <w:rPr>
            <w:i/>
            <w:noProof/>
            <w:lang w:val="en-US"/>
          </w:rPr>
          <w:t>FetchType</w:t>
        </w:r>
      </w:hyperlink>
      <w:r w:rsidRPr="00FE4AEE">
        <w:rPr>
          <w:i/>
          <w:noProof/>
          <w:lang w:val="en-US"/>
        </w:rPr>
        <w:t xml:space="preserve"> attribute of the </w:t>
      </w:r>
      <w:hyperlink r:id="rId70" w:anchor="annotations-jpa-elementcollection" w:history="1">
        <w:r w:rsidRPr="00FE4AEE">
          <w:rPr>
            <w:i/>
            <w:noProof/>
            <w:lang w:val="en-US"/>
          </w:rPr>
          <w:t>@ElementCollection</w:t>
        </w:r>
      </w:hyperlink>
      <w:r w:rsidRPr="00FE4AEE">
        <w:rPr>
          <w:i/>
          <w:noProof/>
          <w:lang w:val="en-US"/>
        </w:rPr>
        <w:t xml:space="preserve">, </w:t>
      </w:r>
      <w:hyperlink r:id="rId71" w:anchor="annotations-jpa-onetomany" w:history="1">
        <w:r w:rsidRPr="00FE4AEE">
          <w:rPr>
            <w:i/>
            <w:noProof/>
            <w:lang w:val="en-US"/>
          </w:rPr>
          <w:t>@OneToMany</w:t>
        </w:r>
      </w:hyperlink>
      <w:r w:rsidRPr="00FE4AEE">
        <w:rPr>
          <w:i/>
          <w:noProof/>
          <w:lang w:val="en-US"/>
        </w:rPr>
        <w:t xml:space="preserve">, or </w:t>
      </w:r>
      <w:hyperlink r:id="rId72"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3"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lastRenderedPageBreak/>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7007DF"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4"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7007DF" w:rsidP="00A34A65">
      <w:pPr>
        <w:numPr>
          <w:ilvl w:val="0"/>
          <w:numId w:val="83"/>
        </w:numPr>
        <w:ind w:left="1287" w:hanging="357"/>
        <w:rPr>
          <w:noProof/>
          <w:lang w:val="en-US"/>
        </w:rPr>
      </w:pPr>
      <w:hyperlink r:id="rId75"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7007DF" w:rsidP="00A34A65">
      <w:pPr>
        <w:numPr>
          <w:ilvl w:val="0"/>
          <w:numId w:val="83"/>
        </w:numPr>
        <w:spacing w:after="100" w:afterAutospacing="1"/>
        <w:ind w:left="1287" w:hanging="357"/>
        <w:rPr>
          <w:noProof/>
          <w:lang w:val="en-US"/>
        </w:rPr>
      </w:pPr>
      <w:hyperlink r:id="rId76"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7007DF" w:rsidP="00A34A65">
      <w:pPr>
        <w:numPr>
          <w:ilvl w:val="0"/>
          <w:numId w:val="83"/>
        </w:numPr>
        <w:spacing w:before="100" w:beforeAutospacing="1" w:after="100" w:afterAutospacing="1"/>
        <w:rPr>
          <w:noProof/>
          <w:lang w:val="en-US"/>
        </w:rPr>
      </w:pPr>
      <w:hyperlink r:id="rId77"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8"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lastRenderedPageBreak/>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79"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lastRenderedPageBreak/>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0"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1"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lastRenderedPageBreak/>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2"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3" w:history="1">
        <w:r w:rsidRPr="00FE4AEE">
          <w:rPr>
            <w:noProof/>
            <w:lang w:val="en-US"/>
          </w:rPr>
          <w:t>CacheStoreMode</w:t>
        </w:r>
      </w:hyperlink>
      <w:r w:rsidRPr="00FE4AEE">
        <w:rPr>
          <w:noProof/>
          <w:lang w:val="en-US"/>
        </w:rPr>
        <w:t>) and retrieval (</w:t>
      </w:r>
      <w:hyperlink r:id="rId84"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CF7DE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CF7DE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CF7DE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CF7DE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lastRenderedPageBreak/>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lastRenderedPageBreak/>
              <w:t xml:space="preserve">Read from the cache, but doesn’t </w:t>
            </w:r>
            <w:r w:rsidRPr="00FE4AEE">
              <w:rPr>
                <w:noProof/>
                <w:lang w:val="en-US"/>
              </w:rPr>
              <w:lastRenderedPageBreak/>
              <w:t>write to cache</w:t>
            </w:r>
          </w:p>
        </w:tc>
      </w:tr>
      <w:tr w:rsidR="000C2DF0" w:rsidRPr="00CF7DE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lastRenderedPageBreak/>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5"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6"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lastRenderedPageBreak/>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CF7DE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CF7DE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CF7DE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CF7DE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lastRenderedPageBreak/>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7"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8"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lastRenderedPageBreak/>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lastRenderedPageBreak/>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lastRenderedPageBreak/>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89"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0"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1" w:history="1">
        <w:r w:rsidRPr="00FE4AEE">
          <w:rPr>
            <w:rStyle w:val="Hyperlink"/>
            <w:noProof/>
            <w:lang w:val="en-US"/>
          </w:rPr>
          <w:t>https://vladmihalcea.com/tutorials/hibernate/</w:t>
        </w:r>
      </w:hyperlink>
    </w:p>
    <w:p w:rsidR="00A237E5" w:rsidRPr="00FE4AEE" w:rsidRDefault="007007DF" w:rsidP="00B141BE">
      <w:pPr>
        <w:numPr>
          <w:ilvl w:val="0"/>
          <w:numId w:val="1"/>
        </w:numPr>
        <w:shd w:val="clear" w:color="auto" w:fill="FFFFFF"/>
        <w:tabs>
          <w:tab w:val="clear" w:pos="644"/>
        </w:tabs>
        <w:ind w:left="567" w:hanging="283"/>
        <w:rPr>
          <w:noProof/>
          <w:lang w:val="en-US"/>
        </w:rPr>
      </w:pPr>
      <w:hyperlink r:id="rId92"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3"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4"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5"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6"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7"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7007DF" w:rsidP="00014DDA">
      <w:pPr>
        <w:shd w:val="clear" w:color="auto" w:fill="FFFFFF"/>
        <w:rPr>
          <w:noProof/>
          <w:lang w:val="en-US"/>
        </w:rPr>
      </w:pPr>
      <w:hyperlink r:id="rId98"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7007DF" w:rsidP="00014DDA">
      <w:pPr>
        <w:shd w:val="clear" w:color="auto" w:fill="FFFFFF"/>
        <w:rPr>
          <w:noProof/>
          <w:lang w:val="en-US"/>
        </w:rPr>
      </w:pPr>
      <w:hyperlink r:id="rId99"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7007DF" w:rsidP="00014DDA">
      <w:pPr>
        <w:shd w:val="clear" w:color="auto" w:fill="FFFFFF"/>
        <w:rPr>
          <w:noProof/>
          <w:lang w:val="en-US"/>
        </w:rPr>
      </w:pPr>
      <w:hyperlink r:id="rId100" w:history="1">
        <w:r w:rsidR="00B8657B" w:rsidRPr="00FE4AEE">
          <w:rPr>
            <w:rStyle w:val="Hyperlink"/>
            <w:noProof/>
            <w:lang w:val="en-US"/>
          </w:rPr>
          <w:t>https://howtodoinjava.com/hibernate/hibernate-c3p0-connection-pool-configuration-tutorial/</w:t>
        </w:r>
      </w:hyperlink>
    </w:p>
    <w:p w:rsidR="00B8657B" w:rsidRPr="00FE4AEE" w:rsidRDefault="007007DF" w:rsidP="00014DDA">
      <w:pPr>
        <w:shd w:val="clear" w:color="auto" w:fill="FFFFFF"/>
        <w:rPr>
          <w:noProof/>
          <w:lang w:val="en-US"/>
        </w:rPr>
      </w:pPr>
      <w:hyperlink r:id="rId101"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7">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8">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9">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2">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7">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9">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3"/>
  </w:num>
  <w:num w:numId="3">
    <w:abstractNumId w:val="21"/>
  </w:num>
  <w:num w:numId="4">
    <w:abstractNumId w:val="42"/>
  </w:num>
  <w:num w:numId="5">
    <w:abstractNumId w:val="5"/>
  </w:num>
  <w:num w:numId="6">
    <w:abstractNumId w:val="95"/>
  </w:num>
  <w:num w:numId="7">
    <w:abstractNumId w:val="61"/>
  </w:num>
  <w:num w:numId="8">
    <w:abstractNumId w:val="16"/>
  </w:num>
  <w:num w:numId="9">
    <w:abstractNumId w:val="4"/>
  </w:num>
  <w:num w:numId="10">
    <w:abstractNumId w:val="7"/>
  </w:num>
  <w:num w:numId="11">
    <w:abstractNumId w:val="64"/>
  </w:num>
  <w:num w:numId="12">
    <w:abstractNumId w:val="98"/>
  </w:num>
  <w:num w:numId="13">
    <w:abstractNumId w:val="91"/>
  </w:num>
  <w:num w:numId="14">
    <w:abstractNumId w:val="76"/>
  </w:num>
  <w:num w:numId="15">
    <w:abstractNumId w:val="33"/>
  </w:num>
  <w:num w:numId="16">
    <w:abstractNumId w:val="3"/>
  </w:num>
  <w:num w:numId="17">
    <w:abstractNumId w:val="13"/>
  </w:num>
  <w:num w:numId="18">
    <w:abstractNumId w:val="52"/>
  </w:num>
  <w:num w:numId="19">
    <w:abstractNumId w:val="81"/>
  </w:num>
  <w:num w:numId="20">
    <w:abstractNumId w:val="10"/>
  </w:num>
  <w:num w:numId="21">
    <w:abstractNumId w:val="65"/>
  </w:num>
  <w:num w:numId="22">
    <w:abstractNumId w:val="80"/>
  </w:num>
  <w:num w:numId="23">
    <w:abstractNumId w:val="62"/>
  </w:num>
  <w:num w:numId="24">
    <w:abstractNumId w:val="38"/>
  </w:num>
  <w:num w:numId="25">
    <w:abstractNumId w:val="93"/>
  </w:num>
  <w:num w:numId="26">
    <w:abstractNumId w:val="2"/>
  </w:num>
  <w:num w:numId="27">
    <w:abstractNumId w:val="99"/>
  </w:num>
  <w:num w:numId="28">
    <w:abstractNumId w:val="56"/>
  </w:num>
  <w:num w:numId="29">
    <w:abstractNumId w:val="84"/>
  </w:num>
  <w:num w:numId="30">
    <w:abstractNumId w:val="60"/>
  </w:num>
  <w:num w:numId="31">
    <w:abstractNumId w:val="54"/>
  </w:num>
  <w:num w:numId="32">
    <w:abstractNumId w:val="15"/>
  </w:num>
  <w:num w:numId="33">
    <w:abstractNumId w:val="50"/>
  </w:num>
  <w:num w:numId="34">
    <w:abstractNumId w:val="31"/>
  </w:num>
  <w:num w:numId="35">
    <w:abstractNumId w:val="88"/>
  </w:num>
  <w:num w:numId="36">
    <w:abstractNumId w:val="41"/>
  </w:num>
  <w:num w:numId="37">
    <w:abstractNumId w:val="26"/>
  </w:num>
  <w:num w:numId="38">
    <w:abstractNumId w:val="83"/>
  </w:num>
  <w:num w:numId="39">
    <w:abstractNumId w:val="39"/>
  </w:num>
  <w:num w:numId="40">
    <w:abstractNumId w:val="36"/>
  </w:num>
  <w:num w:numId="41">
    <w:abstractNumId w:val="69"/>
  </w:num>
  <w:num w:numId="42">
    <w:abstractNumId w:val="43"/>
  </w:num>
  <w:num w:numId="43">
    <w:abstractNumId w:val="24"/>
  </w:num>
  <w:num w:numId="44">
    <w:abstractNumId w:val="9"/>
  </w:num>
  <w:num w:numId="45">
    <w:abstractNumId w:val="66"/>
  </w:num>
  <w:num w:numId="46">
    <w:abstractNumId w:val="48"/>
  </w:num>
  <w:num w:numId="47">
    <w:abstractNumId w:val="6"/>
  </w:num>
  <w:num w:numId="48">
    <w:abstractNumId w:val="18"/>
  </w:num>
  <w:num w:numId="49">
    <w:abstractNumId w:val="68"/>
  </w:num>
  <w:num w:numId="50">
    <w:abstractNumId w:val="11"/>
  </w:num>
  <w:num w:numId="51">
    <w:abstractNumId w:val="29"/>
  </w:num>
  <w:num w:numId="52">
    <w:abstractNumId w:val="63"/>
  </w:num>
  <w:num w:numId="53">
    <w:abstractNumId w:val="77"/>
  </w:num>
  <w:num w:numId="54">
    <w:abstractNumId w:val="92"/>
  </w:num>
  <w:num w:numId="55">
    <w:abstractNumId w:val="75"/>
  </w:num>
  <w:num w:numId="56">
    <w:abstractNumId w:val="40"/>
  </w:num>
  <w:num w:numId="57">
    <w:abstractNumId w:val="22"/>
  </w:num>
  <w:num w:numId="58">
    <w:abstractNumId w:val="100"/>
  </w:num>
  <w:num w:numId="59">
    <w:abstractNumId w:val="37"/>
  </w:num>
  <w:num w:numId="60">
    <w:abstractNumId w:val="20"/>
  </w:num>
  <w:num w:numId="61">
    <w:abstractNumId w:val="86"/>
  </w:num>
  <w:num w:numId="62">
    <w:abstractNumId w:val="51"/>
  </w:num>
  <w:num w:numId="63">
    <w:abstractNumId w:val="46"/>
  </w:num>
  <w:num w:numId="64">
    <w:abstractNumId w:val="96"/>
  </w:num>
  <w:num w:numId="65">
    <w:abstractNumId w:val="14"/>
  </w:num>
  <w:num w:numId="66">
    <w:abstractNumId w:val="0"/>
  </w:num>
  <w:num w:numId="67">
    <w:abstractNumId w:val="1"/>
  </w:num>
  <w:num w:numId="68">
    <w:abstractNumId w:val="23"/>
  </w:num>
  <w:num w:numId="69">
    <w:abstractNumId w:val="74"/>
  </w:num>
  <w:num w:numId="70">
    <w:abstractNumId w:val="79"/>
  </w:num>
  <w:num w:numId="71">
    <w:abstractNumId w:val="67"/>
  </w:num>
  <w:num w:numId="72">
    <w:abstractNumId w:val="94"/>
  </w:num>
  <w:num w:numId="73">
    <w:abstractNumId w:val="97"/>
  </w:num>
  <w:num w:numId="74">
    <w:abstractNumId w:val="53"/>
  </w:num>
  <w:num w:numId="75">
    <w:abstractNumId w:val="28"/>
  </w:num>
  <w:num w:numId="76">
    <w:abstractNumId w:val="19"/>
  </w:num>
  <w:num w:numId="77">
    <w:abstractNumId w:val="49"/>
  </w:num>
  <w:num w:numId="78">
    <w:abstractNumId w:val="45"/>
  </w:num>
  <w:num w:numId="79">
    <w:abstractNumId w:val="85"/>
  </w:num>
  <w:num w:numId="80">
    <w:abstractNumId w:val="27"/>
  </w:num>
  <w:num w:numId="81">
    <w:abstractNumId w:val="90"/>
  </w:num>
  <w:num w:numId="82">
    <w:abstractNumId w:val="82"/>
  </w:num>
  <w:num w:numId="83">
    <w:abstractNumId w:val="58"/>
  </w:num>
  <w:num w:numId="84">
    <w:abstractNumId w:val="44"/>
  </w:num>
  <w:num w:numId="85">
    <w:abstractNumId w:val="47"/>
  </w:num>
  <w:num w:numId="86">
    <w:abstractNumId w:val="35"/>
  </w:num>
  <w:num w:numId="87">
    <w:abstractNumId w:val="57"/>
  </w:num>
  <w:num w:numId="88">
    <w:abstractNumId w:val="87"/>
  </w:num>
  <w:num w:numId="89">
    <w:abstractNumId w:val="34"/>
  </w:num>
  <w:num w:numId="90">
    <w:abstractNumId w:val="78"/>
  </w:num>
  <w:num w:numId="91">
    <w:abstractNumId w:val="17"/>
  </w:num>
  <w:num w:numId="92">
    <w:abstractNumId w:val="72"/>
  </w:num>
  <w:num w:numId="93">
    <w:abstractNumId w:val="30"/>
  </w:num>
  <w:num w:numId="94">
    <w:abstractNumId w:val="25"/>
  </w:num>
  <w:num w:numId="95">
    <w:abstractNumId w:val="70"/>
  </w:num>
  <w:num w:numId="96">
    <w:abstractNumId w:val="32"/>
  </w:num>
  <w:num w:numId="97">
    <w:abstractNumId w:val="12"/>
  </w:num>
  <w:num w:numId="98">
    <w:abstractNumId w:val="89"/>
  </w:num>
  <w:num w:numId="99">
    <w:abstractNumId w:val="59"/>
  </w:num>
  <w:num w:numId="100">
    <w:abstractNumId w:val="71"/>
  </w:num>
  <w:num w:numId="101">
    <w:abstractNumId w:val="5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3ADA"/>
    <w:rsid w:val="003D092D"/>
    <w:rsid w:val="003D2F08"/>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5560"/>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2B5A"/>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46E4"/>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OrderBy.html" TargetMode="External"/><Relationship Id="rId21" Type="http://schemas.openxmlformats.org/officeDocument/2006/relationships/hyperlink" Target="https://docs.jboss.org/hibernate/orm/5.4/javadocs/org/hibernate/annotations/LazyToOne.html" TargetMode="External"/><Relationship Id="rId42" Type="http://schemas.openxmlformats.org/officeDocument/2006/relationships/hyperlink" Target="https://docs.oracle.com/javase/8/docs/api/java/sql/Connection.html" TargetMode="External"/><Relationship Id="rId47" Type="http://schemas.openxmlformats.org/officeDocument/2006/relationships/hyperlink" Target="https://vladmihalcea.com/a-beginners-guide-to-transaction-isolation-levels-in-enterprise-java/" TargetMode="External"/><Relationship Id="rId63" Type="http://schemas.openxmlformats.org/officeDocument/2006/relationships/hyperlink" Target="https://docs.jboss.org/hibernate/orm/5.4/javadocs/org/hibernate/annotations/LazyCollection.html" TargetMode="External"/><Relationship Id="rId68" Type="http://schemas.openxmlformats.org/officeDocument/2006/relationships/hyperlink" Target="https://docs.jboss.org/hibernate/orm/5.4/userguide/html_single/Hibernate_User_Guide.html" TargetMode="External"/><Relationship Id="rId84" Type="http://schemas.openxmlformats.org/officeDocument/2006/relationships/hyperlink" Target="https://javaee.github.io/javaee-spec/javadocs/javax/persistence/CacheRetrieveMode.html" TargetMode="External"/><Relationship Id="rId89" Type="http://schemas.openxmlformats.org/officeDocument/2006/relationships/hyperlink" Target="https://habr.com/ru/post/265061/"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thorben-janssen.com/naturalid-good-way-persist-natural-ids-hibernate/" TargetMode="External"/><Relationship Id="rId2" Type="http://schemas.openxmlformats.org/officeDocument/2006/relationships/numbering" Target="numbering.xml"/><Relationship Id="rId16" Type="http://schemas.openxmlformats.org/officeDocument/2006/relationships/hyperlink" Target="https://www.youtube.com/watch?v=3RGw86dQnBE" TargetMode="External"/><Relationship Id="rId29" Type="http://schemas.openxmlformats.org/officeDocument/2006/relationships/hyperlink" Target="https://docs.jboss.org/hibernate/orm/5.4/javadocs/org/hibernate/annotations/ColumnDefault.html" TargetMode="External"/><Relationship Id="rId11" Type="http://schemas.openxmlformats.org/officeDocument/2006/relationships/hyperlink" Target="https://docs.jboss.org/hibernate/orm/5.4/userguide/html_single/Hibernate_User_Guide.html" TargetMode="External"/><Relationship Id="rId24" Type="http://schemas.openxmlformats.org/officeDocument/2006/relationships/hyperlink" Target="https://docs.jboss.org/hibernate/orm/5.4/javadocs/org/hibernate/annotations/ListIndexBase.html" TargetMode="External"/><Relationship Id="rId32" Type="http://schemas.openxmlformats.org/officeDocument/2006/relationships/hyperlink" Target="https://docs.jboss.org/hibernate/orm/5.4/javadocs/org/hibernate/Session.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image" Target="media/image5.gif"/><Relationship Id="rId53" Type="http://schemas.openxmlformats.org/officeDocument/2006/relationships/hyperlink" Target="https://stackoverflow.com/questions/22646226/how-are-locking-mechanisms-pessimistic-optimistic-related-to-database-transact" TargetMode="External"/><Relationship Id="rId58" Type="http://schemas.openxmlformats.org/officeDocument/2006/relationships/hyperlink" Target="https://javaee.github.io/javaee-spec/javadocs/javax/persistence/LockModeType.html"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stackoverflow.com/questions/4384515/need-enough-information-about-stateless-session-in-hibernate" TargetMode="External"/><Relationship Id="rId79" Type="http://schemas.openxmlformats.org/officeDocument/2006/relationships/hyperlink" Target="https://javaee.github.io/javaee-spec/javadocs/javax/persistence/Cacheable.html" TargetMode="External"/><Relationship Id="rId87" Type="http://schemas.openxmlformats.org/officeDocument/2006/relationships/hyperlink" Target="https://docs.jboss.org/hibernate/orm/5.4/userguide/html_single/Hibernate_User_Guide.html"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aeldung.com/jpa-entity-graph" TargetMode="External"/><Relationship Id="rId82" Type="http://schemas.openxmlformats.org/officeDocument/2006/relationships/hyperlink" Target="https://docs.jboss.org/hibernate/orm/5.4/javadocs/org/hibernate/CacheMode.html" TargetMode="External"/><Relationship Id="rId90" Type="http://schemas.openxmlformats.org/officeDocument/2006/relationships/hyperlink" Target="https://www.java67.com/2017/10/difference-between-first-level-and-second-level-cache-in-Hibernate.html" TargetMode="External"/><Relationship Id="rId95" Type="http://schemas.openxmlformats.org/officeDocument/2006/relationships/hyperlink" Target="https://habr.com/ru/post/135176/" TargetMode="External"/><Relationship Id="rId19" Type="http://schemas.openxmlformats.org/officeDocument/2006/relationships/hyperlink" Target="https://docs.jboss.org/hibernate/orm/5.3/javadocs/org/hibernate/annotations/GeneratorType.html" TargetMode="External"/><Relationship Id="rId14" Type="http://schemas.openxmlformats.org/officeDocument/2006/relationships/hyperlink" Target="http://docs.oracle.com/javaee/7/api/javax/persistence/AssociationOverride.html" TargetMode="External"/><Relationship Id="rId22" Type="http://schemas.openxmlformats.org/officeDocument/2006/relationships/hyperlink" Target="https://docs.jboss.org/hibernate/orm/5.4/javadocs/org/hibernate/annotations/JoinFormula.html" TargetMode="External"/><Relationship Id="rId27" Type="http://schemas.openxmlformats.org/officeDocument/2006/relationships/hyperlink" Target="https://www.baeldung.com/hibernate-persisting-maps" TargetMode="External"/><Relationship Id="rId30" Type="http://schemas.openxmlformats.org/officeDocument/2006/relationships/hyperlink" Target="https://javaee.github.io/javaee-spec/javadocs/javax/persistence/UniqueConstraint.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hyperlink" Target="https://docs.oracle.com/javase/8/docs/api/java/sql/Connection.html" TargetMode="External"/><Relationship Id="rId48" Type="http://schemas.openxmlformats.org/officeDocument/2006/relationships/hyperlink" Target="https://vladmihalcea.com/a-beginners-guide-to-acid-and-database-transactions/" TargetMode="External"/><Relationship Id="rId56" Type="http://schemas.openxmlformats.org/officeDocument/2006/relationships/hyperlink" Target="https://docs.jboss.org/hibernate/orm/5.4/javadocs/org/hibernate/annotations/OptimisticLocking.html" TargetMode="External"/><Relationship Id="rId64" Type="http://schemas.openxmlformats.org/officeDocument/2006/relationships/hyperlink" Target="https://docs.jboss.org/hibernate/orm/5.4/javadocs/org/hibernate/annotations/LazyCollectionOption.html" TargetMode="External"/><Relationship Id="rId69" Type="http://schemas.openxmlformats.org/officeDocument/2006/relationships/hyperlink" Target="https://javaee.github.io/javaee-spec/javadocs/javax/persistence/FetchType.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hyperlink" Target="https://docs.jboss.org/hibernate/orm/5.4/javadocs/org/hibernate/resource/jdbc/spi/PhysicalConnectionHandlingMode.html" TargetMode="External"/><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javadocs/org/hibernate/annotations/Cache.html" TargetMode="External"/><Relationship Id="rId85" Type="http://schemas.openxmlformats.org/officeDocument/2006/relationships/hyperlink" Target="https://docs.jboss.org/hibernate/orm/5.4/javadocs/org/hibernate/stat/Statistics.html" TargetMode="External"/><Relationship Id="rId93" Type="http://schemas.openxmlformats.org/officeDocument/2006/relationships/hyperlink" Target="https://thorben-janssen.com/naturalid-good-way-persist-natural-ids-hibernate/" TargetMode="External"/><Relationship Id="rId98" Type="http://schemas.openxmlformats.org/officeDocument/2006/relationships/hyperlink" Target="https://www.red-gate.com/simple-talk/sql/database-administration/using-migration-scripts-in-database-deployments/" TargetMode="External"/><Relationship Id="rId3" Type="http://schemas.openxmlformats.org/officeDocument/2006/relationships/styles" Target="styles.xml"/><Relationship Id="rId12" Type="http://schemas.openxmlformats.org/officeDocument/2006/relationships/hyperlink" Target="https://www.youtube.com/watch?v=uZXfZZ59cjU" TargetMode="External"/><Relationship Id="rId17" Type="http://schemas.openxmlformats.org/officeDocument/2006/relationships/hyperlink" Target="https://docs.jboss.org/hibernate/orm/current/userguide/html_single/Hibernate_User_Guide.html" TargetMode="External"/><Relationship Id="rId25" Type="http://schemas.openxmlformats.org/officeDocument/2006/relationships/hyperlink" Target="https://javaee.github.io/javaee-spec/javadocs/javax/persistence/OrderBy.html" TargetMode="External"/><Relationship Id="rId33" Type="http://schemas.openxmlformats.org/officeDocument/2006/relationships/hyperlink" Target="https://docs.jboss.org/hibernate/orm/5.4/javadocs/org/hibernate/Session.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image" Target="media/image6.gif"/><Relationship Id="rId59" Type="http://schemas.openxmlformats.org/officeDocument/2006/relationships/hyperlink" Target="https://javaee.github.io/javaee-spec/javadocs/javax/persistence/PessimisticLockScope.html" TargetMode="External"/><Relationship Id="rId67" Type="http://schemas.openxmlformats.org/officeDocument/2006/relationships/hyperlink" Target="https://docs.jboss.org/hibernate/orm/5.4/userguide/html_single/Hibernate_User_Guide.html" TargetMode="External"/><Relationship Id="rId103"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apacheignite.readme.io/docs/concurrency-modes-and-isolation-levels" TargetMode="External"/><Relationship Id="rId62" Type="http://schemas.openxmlformats.org/officeDocument/2006/relationships/hyperlink" Target="https://javaee.github.io/javaee-spec/javadocs/javax/persistence/NamedSubgraph.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javaee.github.io/javaee-spec/javadocs/javax/persistence/CacheStoreMo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vladmihalcea.com/tutorials/hibernate/" TargetMode="External"/><Relationship Id="rId96" Type="http://schemas.openxmlformats.org/officeDocument/2006/relationships/hyperlink" Target="https://dzone.com/articles/resource-local-vs-jta-transaction-types-and-payar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jboss.org/hibernate/orm/5.3/javadocs/org/hibernate/annotations/Tuplizer.html" TargetMode="External"/><Relationship Id="rId23" Type="http://schemas.openxmlformats.org/officeDocument/2006/relationships/hyperlink" Target="https://docs.jboss.org/hibernate/orm/5.4/javadocs/org/hibernate/annotations/JoinColumnOrFormula.html" TargetMode="External"/><Relationship Id="rId28" Type="http://schemas.openxmlformats.org/officeDocument/2006/relationships/hyperlink" Target="https://thorben-janssen.com/mapping-arrays-with-hibernate/"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6162357/transaction-isolation-levels-relation-with-locks-on-table" TargetMode="External"/><Relationship Id="rId57" Type="http://schemas.openxmlformats.org/officeDocument/2006/relationships/hyperlink" Target="https://docs.jboss.org/hibernate/orm/5.4/javadocs/org/hibernate/annotations/OptimisticLockType.html"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javaee.github.io/javaee-spec/javadocs/javax/persistence/Index.html" TargetMode="External"/><Relationship Id="rId44" Type="http://schemas.openxmlformats.org/officeDocument/2006/relationships/image" Target="media/image4.gif"/><Relationship Id="rId52" Type="http://schemas.openxmlformats.org/officeDocument/2006/relationships/hyperlink" Target="https://stackoverflow.com/questions/1962525/persistence-unit-as-resource-local-or-jta" TargetMode="External"/><Relationship Id="rId60" Type="http://schemas.openxmlformats.org/officeDocument/2006/relationships/hyperlink" Target="https://hibernate.atlassian.net/browse/HHH-9636" TargetMode="External"/><Relationship Id="rId65" Type="http://schemas.openxmlformats.org/officeDocument/2006/relationships/hyperlink" Target="https://javaee.github.io/javaee-spec/javadocs/javax/persistence/FetchType.html" TargetMode="External"/><Relationship Id="rId73" Type="http://schemas.openxmlformats.org/officeDocument/2006/relationships/hyperlink" Target="https://stackoverflow.com/questions/45670583/how-hibernate-batch-insert-works" TargetMode="External"/><Relationship Id="rId78" Type="http://schemas.openxmlformats.org/officeDocument/2006/relationships/hyperlink" Target="https://docs.jboss.org/hibernate/orm/5.4/javadocs/org/hibernate/cache/spi/RegionFactory.html"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www.baeldung.com/hibernate-second-level-cache" TargetMode="External"/><Relationship Id="rId94" Type="http://schemas.openxmlformats.org/officeDocument/2006/relationships/hyperlink" Target="https://docs.oracle.com/html/E13946_04/" TargetMode="External"/><Relationship Id="rId99" Type="http://schemas.openxmlformats.org/officeDocument/2006/relationships/hyperlink" Target="https://thorben-janssen.com/hibernate-tips-remove-entities-persistence-context/" TargetMode="External"/><Relationship Id="rId101" Type="http://schemas.openxmlformats.org/officeDocument/2006/relationships/hyperlink" Target="https://eng.fitbit.com/instrumenting-hibernate-connection-providers/"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docs.oracle.com/javaee/7/api/javax/persistence/AttributeOverride.html" TargetMode="External"/><Relationship Id="rId18" Type="http://schemas.openxmlformats.org/officeDocument/2006/relationships/hyperlink" Target="https://docs.jboss.org/hibernate/orm/current/userguide/html_single/Hibernate_User_Gu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userguide/html_single/Hibernate_User_Guide.html" TargetMode="External"/><Relationship Id="rId50" Type="http://schemas.openxmlformats.org/officeDocument/2006/relationships/hyperlink" Target="https://retool.com/blog/isolation-levels-and-locking-in-relational-databases/" TargetMode="External"/><Relationship Id="rId55" Type="http://schemas.openxmlformats.org/officeDocument/2006/relationships/hyperlink" Target="https://stackoverflow.com/questions/8769308/what-is-the-need-for-an-unsaved-value-attribute-in-hibernate"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www.baeldung.com/delete-with-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798C-F696-4B09-8259-D0D2DB61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12844</TotalTime>
  <Pages>53</Pages>
  <Words>18130</Words>
  <Characters>103346</Characters>
  <Application>Microsoft Office Word</Application>
  <DocSecurity>0</DocSecurity>
  <Lines>861</Lines>
  <Paragraphs>242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497</cp:revision>
  <cp:lastPrinted>2020-10-30T07:01:00Z</cp:lastPrinted>
  <dcterms:created xsi:type="dcterms:W3CDTF">2020-10-28T13:42:00Z</dcterms:created>
  <dcterms:modified xsi:type="dcterms:W3CDTF">2021-04-07T14:10:00Z</dcterms:modified>
</cp:coreProperties>
</file>