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моделирование. Лабораторная Работа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Барсегян Вардан Левонович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модели гармонического осциллятора, построение математической модели.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Гармони́ческие колеба́ния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Виды колебаний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Свободные колебания</w:t>
      </w:r>
      <w:r>
        <w:t xml:space="preserve">. Совершаются под действием внутренних сил системы после того, как система была выведена из положения равновесия. Чтобы свободные колебания были гармоническими, необходимо, чтобы колебательная система была линейной (описывалась линейными уравнениями движения), и в ней отсутствовала диссипация энергии (при ненулевой диссипации, в системе после возбуждения происходят затухающие колебания).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Вынужденные колебания</w:t>
      </w:r>
      <w:r>
        <w:t xml:space="preserve">. Совершаются под воздействием внешней периодической силы. Чтобы вынужденные колебания были гармоническими, достаточно, чтобы колебательная система была линейной (описывалась линейными уравнениями движения), а внешняя сила (воздействие) менялась со временем как гармоническое колебание (то есть, чтобы зависимость от времени этой силы тоже, в свою очередь, была синусоидальной).</w:t>
      </w:r>
    </w:p>
    <w:p>
      <w:pPr>
        <w:pStyle w:val="FirstParagraph"/>
      </w:pPr>
      <w:r>
        <w:t xml:space="preserve">Очень часто малые колебания, как свободные, так и вынужденные, которые происходят в реальных системах, можно считать имеющими форму гармонических колебаний или очень близкую к ней.</w:t>
      </w:r>
    </w:p>
    <w:p>
      <w:pPr>
        <w:pStyle w:val="BodyText"/>
      </w:pPr>
      <w:r>
        <w:t xml:space="preserve">Как установил в 1822 году Фурье, широкий класс периодических функций может быть разложен на сумму тригонометрических компонентов — в ряд Фурье. Другими словами, любое периодическое колебание может быть представлено как сумма гармонических колебаний с соответствующими амплитудами, частотами и начальными фазами. Среди слагаемых этой суммы существует гармоническое колебание с наименьшей частотой, которая называется основной частотой, а само это колебание — первой гармоникой или основным тоном, частоты же всех остальных слагаемых, гармонических колебаний, кратны основной частоте, и эти колебания называются высшими гармониками или обертонами — первым, вторым и т.д.</w:t>
      </w:r>
    </w:p>
    <w:p>
      <w:pPr>
        <w:pStyle w:val="BodyText"/>
      </w:pPr>
      <w:r>
        <w:t xml:space="preserve">Для широкого класса систем откликом на гармоническое воздействие является гармоническое колебание (свойство линейности), при этом связь воздействия и отклика является устойчивой характеристикой системы. С учётом предыдущего свойства это позволяет исследовать прохождение колебаний произвольной формы через системы.</w:t>
      </w:r>
    </w:p>
    <w:bookmarkEnd w:id="21"/>
    <w:bookmarkStart w:id="28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bookmarkStart w:id="26" w:name="определение-вариант-зада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 вариант задания</w:t>
      </w:r>
    </w:p>
    <w:p>
      <w:pPr>
        <w:pStyle w:val="FirstParagraph"/>
      </w:pPr>
      <w:r>
        <w:t xml:space="preserve">Определим вариант задания в соответствии с формулой (рис. 1).</w:t>
      </w:r>
    </w:p>
    <w:bookmarkStart w:id="25" w:name="fig:001"/>
    <w:p>
      <w:pPr>
        <w:pStyle w:val="CaptionedFigure"/>
      </w:pPr>
      <w:r>
        <w:drawing>
          <wp:inline>
            <wp:extent cx="1857375" cy="600075"/>
            <wp:effectExtent b="0" l="0" r="0" t="0"/>
            <wp:docPr descr="Рис. 1: Вариант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Вариант задания</w:t>
      </w:r>
    </w:p>
    <w:bookmarkEnd w:id="25"/>
    <w:bookmarkEnd w:id="26"/>
    <w:bookmarkStart w:id="27" w:name="задание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№ 6</w:t>
      </w:r>
    </w:p>
    <w:p>
      <w:pPr>
        <w:pStyle w:val="BodyText"/>
      </w:pPr>
      <w:r>
        <w:t xml:space="preserve">Постройте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</w:t>
      </w:r>
    </w:p>
    <w:p>
      <w:pPr>
        <w:pStyle w:val="Compact"/>
        <w:numPr>
          <w:ilvl w:val="0"/>
          <w:numId w:val="1002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Колебания гармонического осциллятора c затуханием и без действий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Колебания гармонического осциллятора c затуханием и под действием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0.5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45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27"/>
    <w:bookmarkEnd w:id="28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Реализуем модель на Julia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t, p1)</w:t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графики решения уравнения гармонического осциллятора (рис. 2). и график фазового портрета (рис. 3).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(solution1,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"Колебания гармонического осциллятора без затуханий"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(solution1,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bookmarkStart w:id="32" w:name="fig:002"/>
    <w:p>
      <w:pPr>
        <w:pStyle w:val="CaptionedFigure"/>
      </w:pPr>
      <w:r>
        <w:drawing>
          <wp:inline>
            <wp:extent cx="3733800" cy="2263550"/>
            <wp:effectExtent b="0" l="0" r="0" t="0"/>
            <wp:docPr descr="Рис. 2: График колебаний гармонического осциллятора без затуханий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колебаний гармонического осциллятора без затуханий</w:t>
      </w:r>
    </w:p>
    <w:bookmarkEnd w:id="32"/>
    <w:bookmarkStart w:id="36" w:name="fig:003"/>
    <w:p>
      <w:pPr>
        <w:pStyle w:val="CaptionedFigure"/>
      </w:pPr>
      <w:r>
        <w:drawing>
          <wp:inline>
            <wp:extent cx="3733800" cy="2687345"/>
            <wp:effectExtent b="0" l="0" r="0" t="0"/>
            <wp:docPr descr="Рис. 3: Фазовый портрет гармонического осциллятора без затуханий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Фазовый портрет гармонического осциллятора без затуханий</w:t>
      </w:r>
    </w:p>
    <w:bookmarkEnd w:id="36"/>
    <w:p>
      <w:pPr>
        <w:pStyle w:val="BodyText"/>
      </w:pPr>
      <w:r>
        <w:t xml:space="preserve">Из графика видно отсутствие затуханий и периодичность колебаний</w:t>
      </w:r>
    </w:p>
    <w:bookmarkEnd w:id="37"/>
    <w:bookmarkStart w:id="46" w:name="X325f7906e9218588796c2580ce649431a860eb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затуханиями и без действий внешней силы</w:t>
      </w:r>
    </w:p>
    <w:p>
      <w:pPr>
        <w:pStyle w:val="FirstParagraph"/>
      </w:pPr>
      <w:r>
        <w:t xml:space="preserve">Реализуем модель на Julia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t, p2)</w:t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графики решения уравнения гармонического осциллятора (рис. 4). и график фазового портрета (рис. 5).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(solution2,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"Колебания гармонического осциллятора с затуханиями"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(solution2,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bookmarkStart w:id="41" w:name="fig:004"/>
    <w:p>
      <w:pPr>
        <w:pStyle w:val="CaptionedFigure"/>
      </w:pPr>
      <w:r>
        <w:drawing>
          <wp:inline>
            <wp:extent cx="3733800" cy="2691809"/>
            <wp:effectExtent b="0" l="0" r="0" t="0"/>
            <wp:docPr descr="Рис. 4: График колебаний гармонического осциллятора с затуханиями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колебаний гармонического осциллятора с затуханиями</w:t>
      </w:r>
    </w:p>
    <w:bookmarkEnd w:id="41"/>
    <w:bookmarkStart w:id="45" w:name="fig:005"/>
    <w:p>
      <w:pPr>
        <w:pStyle w:val="CaptionedFigure"/>
      </w:pPr>
      <w:r>
        <w:drawing>
          <wp:inline>
            <wp:extent cx="3733800" cy="2656260"/>
            <wp:effectExtent b="0" l="0" r="0" t="0"/>
            <wp:docPr descr="Рис. 5: Фазовый портрет гармонического осциллятора с затуханиями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Фазовый портрет гармонического осциллятора с затуханиями</w:t>
      </w:r>
    </w:p>
    <w:bookmarkEnd w:id="45"/>
    <w:p>
      <w:pPr>
        <w:pStyle w:val="BodyText"/>
      </w:pPr>
      <w:r>
        <w:t xml:space="preserve">На графике фазового портрета видно, что график затухает.</w:t>
      </w:r>
    </w:p>
    <w:bookmarkEnd w:id="46"/>
    <w:bookmarkStart w:id="55" w:name="Xa87ed68cda9e3d62c5d7245df54b84d2312881b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затуханиями и с действием внешней силы</w:t>
      </w:r>
    </w:p>
    <w:p>
      <w:pPr>
        <w:pStyle w:val="FirstParagraph"/>
      </w:pPr>
      <w:r>
        <w:t xml:space="preserve">Реализуем модель на Julia, добавив функцию воздействие внешней силы.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t, p3)</w:t>
      </w:r>
      <w:r>
        <w:br/>
      </w:r>
      <w:r>
        <w:rPr>
          <w:rStyle w:val="NormalTok"/>
        </w:rPr>
        <w:t xml:space="preserve">solution3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Построим графики решения уравнения гармонического осциллятора (рис. 6). и график фазового портрета (рис. 7).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(solution3,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"Колебания гарм. осц. с затуханиями и внеш. силой"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(solution3,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, xaxis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bookmarkStart w:id="50" w:name="fig:006"/>
    <w:p>
      <w:pPr>
        <w:pStyle w:val="CaptionedFigure"/>
      </w:pPr>
      <w:r>
        <w:drawing>
          <wp:inline>
            <wp:extent cx="3733800" cy="2658168"/>
            <wp:effectExtent b="0" l="0" r="0" t="0"/>
            <wp:docPr descr="Рис. 6: График колебаний гармонического осциллятора с затуханиями и воздействием внешней силы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колебаний гармонического осциллятора с затуханиями и воздействием внешней силы</w:t>
      </w:r>
    </w:p>
    <w:bookmarkEnd w:id="50"/>
    <w:bookmarkStart w:id="54" w:name="fig:007"/>
    <w:p>
      <w:pPr>
        <w:pStyle w:val="CaptionedFigure"/>
      </w:pPr>
      <w:r>
        <w:drawing>
          <wp:inline>
            <wp:extent cx="3733800" cy="2681319"/>
            <wp:effectExtent b="0" l="0" r="0" t="0"/>
            <wp:docPr descr="Рис. 7: Фазовый портрет гармонического осциллятора с затуханиями и воздействием внешней силы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 гармонического осциллятора с затуханиями и воздействием внешней силы</w:t>
      </w:r>
    </w:p>
    <w:bookmarkEnd w:id="54"/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модель гармонического осциллятора, построил математическую модель с определенными начальными параметрами, построил графики уравнения гармонического осциллятора и фазовый портрет.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моделирование. Лабораторная Работа №4</dc:title>
  <dc:creator>Барсегян Вардан Левонович</dc:creator>
  <dc:language>ru-RU</dc:language>
  <cp:keywords/>
  <dcterms:created xsi:type="dcterms:W3CDTF">2025-04-05T14:49:02Z</dcterms:created>
  <dcterms:modified xsi:type="dcterms:W3CDTF">2025-04-05T14:49:02Z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гармонических колебаний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