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26.jpg" ContentType="image/jpeg"/>
  <Override PartName="/word/media/rId31.jpg" ContentType="image/jpeg"/>
  <Override PartName="/word/media/rId37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второму этапу проекта</w:t>
      </w:r>
    </w:p>
    <w:p>
      <w:pPr>
        <w:pStyle w:val="Subtitle"/>
      </w:pPr>
      <w:r>
        <w:t xml:space="preserve">Неравновесная агрегация, фракталы</w:t>
      </w:r>
    </w:p>
    <w:p>
      <w:pPr>
        <w:pStyle w:val="Author"/>
      </w:pPr>
      <w:r>
        <w:t xml:space="preserve">Ищенко И. О.,</w:t>
      </w:r>
    </w:p>
    <w:p>
      <w:pPr>
        <w:pStyle w:val="Author"/>
      </w:pPr>
      <w:r>
        <w:t xml:space="preserve">Мишина А. А.,</w:t>
      </w:r>
    </w:p>
    <w:p>
      <w:pPr>
        <w:pStyle w:val="Author"/>
      </w:pPr>
      <w:r>
        <w:t xml:space="preserve">Дикач А. О.,</w:t>
      </w:r>
    </w:p>
    <w:p>
      <w:pPr>
        <w:pStyle w:val="Author"/>
      </w:pPr>
      <w:r>
        <w:t xml:space="preserve">Барсегян В. Л.,</w:t>
      </w:r>
    </w:p>
    <w:p>
      <w:pPr>
        <w:pStyle w:val="Author"/>
      </w:pPr>
      <w:r>
        <w:t xml:space="preserve">Галацан Н. И.,</w:t>
      </w:r>
    </w:p>
    <w:p>
      <w:pPr>
        <w:pStyle w:val="Author"/>
      </w:pPr>
      <w:r>
        <w:t xml:space="preserve">Дудырев Г. А.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p>
      <w:pPr>
        <w:pStyle w:val="FirstParagraph"/>
      </w:pPr>
      <w:r>
        <w:rPr>
          <w:b/>
          <w:bCs/>
        </w:rPr>
        <w:t xml:space="preserve">Цель работы</w:t>
      </w:r>
    </w:p>
    <w:p>
      <w:pPr>
        <w:pStyle w:val="BodyText"/>
      </w:pPr>
      <w:r>
        <w:t xml:space="preserve">Целью данной работы является изучение процесса формирования фракталов с использованием модели агрегации, ограниченной диффузией (DLA), реализованной на сетке.</w:t>
      </w:r>
    </w:p>
    <w:p>
      <w:pPr>
        <w:pStyle w:val="BodyText"/>
      </w:pPr>
      <w:r>
        <w:rPr>
          <w:b/>
          <w:bCs/>
        </w:rPr>
        <w:t xml:space="preserve">Задачи</w:t>
      </w:r>
    </w:p>
    <w:p>
      <w:pPr>
        <w:pStyle w:val="Compact"/>
        <w:numPr>
          <w:ilvl w:val="0"/>
          <w:numId w:val="1001"/>
        </w:numPr>
      </w:pPr>
      <w:r>
        <w:t xml:space="preserve">Рассмотреть алгоритм моделирования DLA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Реализовать модель DLA на двумерной решётке</w:t>
      </w:r>
    </w:p>
    <w:bookmarkEnd w:id="20"/>
    <w:bookmarkStart w:id="42" w:name="выполнение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работы</w:t>
      </w:r>
    </w:p>
    <w:bookmarkStart w:id="25" w:name="алгоритм-dla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Алгоритм DLA</w:t>
      </w:r>
    </w:p>
    <w:p>
      <w:pPr>
        <w:pStyle w:val="FirstParagraph"/>
      </w:pPr>
      <w:r>
        <w:t xml:space="preserve">Рассмотрим дискретную реализацию модели диффузионно-ограниченной агрегации (Diffusion Limited Aggregation, DLA</w:t>
      </w:r>
      <w:r>
        <w:t xml:space="preserve"> </w:t>
      </w:r>
      <w:r>
        <w:t xml:space="preserve">[1]</w:t>
      </w:r>
      <w:r>
        <w:t xml:space="preserve">) на квадратной решётке.</w:t>
      </w:r>
    </w:p>
    <w:p>
      <w:pPr>
        <w:pStyle w:val="BodyText"/>
      </w:pPr>
      <w:r>
        <w:t xml:space="preserve">Разместим исходную (затравочную) частицу в центре сетки. Будем выпускать отдельные частицы с некоторого расстояния, превышающего предполагаемый максимальный радиус итогового агрегата. Каждая частица будет двигаться случайным образом, делая шаги в одном из четырёх направлений (вверх, вниз, влево или вправо) с равной вероятностью. Если частица оказывается рядом с уже занятым узлом, она присоединяется к агрегату. Затем запускаем следующую частицу и повторяем процесс. Один шаг по решётке соответствует диаметру частицы. Общая схема алгоритма представлена на рисунке (рис. fig. 1).</w:t>
      </w:r>
    </w:p>
    <w:bookmarkStart w:id="24" w:name="fig:001"/>
    <w:p>
      <w:pPr>
        <w:pStyle w:val="CaptionedFigure"/>
      </w:pPr>
      <w:r>
        <w:drawing>
          <wp:inline>
            <wp:extent cx="2640169" cy="4520484"/>
            <wp:effectExtent b="0" l="0" r="0" t="0"/>
            <wp:docPr descr="Рис. 1: Блок-схема алгоритма модели DLA" title="" id="22" name="Picture"/>
            <a:graphic>
              <a:graphicData uri="http://schemas.openxmlformats.org/drawingml/2006/picture">
                <pic:pic>
                  <pic:nvPicPr>
                    <pic:cNvPr descr="image/DLA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0169" cy="45204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Блок-схема алгоритма модели DLA</w:t>
      </w:r>
    </w:p>
    <w:bookmarkEnd w:id="24"/>
    <w:bookmarkEnd w:id="25"/>
    <w:bookmarkStart w:id="30" w:name="реализация-алгоритма-dla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Реализация алгоритма DLA</w:t>
      </w:r>
    </w:p>
    <w:p>
      <w:pPr>
        <w:pStyle w:val="FirstParagraph"/>
      </w:pPr>
      <w:r>
        <w:t xml:space="preserve">Для реализации алгоритма создадим двумерный массив, в котором 1 будет означать наличие частицы в клетке, а 0 — её отсутствие. Разместим первую частицу в центре. Новые частицы будем запускать до тех пор, пока не достигнем заданного количества, либо пока агрегат не выйдет за пределы допустимого радиуса. Используем функцию</w:t>
      </w:r>
      <w:r>
        <w:t xml:space="preserve"> </w:t>
      </w:r>
      <w:r>
        <w:rPr>
          <w:rStyle w:val="VerbatimChar"/>
        </w:rPr>
        <w:t xml:space="preserve">generateAtRadius</w:t>
      </w:r>
      <w:r>
        <w:t xml:space="preserve"> </w:t>
      </w:r>
      <w:r>
        <w:t xml:space="preserve">для генерации начального положения частицы на окружности. Для обработки её движения и проверки условий контакта с агрегатом воспользуемся функцией</w:t>
      </w:r>
      <w:r>
        <w:t xml:space="preserve"> </w:t>
      </w:r>
      <w:r>
        <w:rPr>
          <w:rStyle w:val="VerbatimChar"/>
        </w:rPr>
        <w:t xml:space="preserve">hasNeighbor</w:t>
      </w:r>
      <w:r>
        <w:t xml:space="preserve">. Если частица оказывается рядом с занятым узлом, фиксируем её положение и переходим к следующей. Остановка происходит либо по количественному лимиту, либо при достижении предельного радиуса (см. рис. fig. 2).</w:t>
      </w:r>
    </w:p>
    <w:bookmarkStart w:id="29" w:name="fig:002"/>
    <w:p>
      <w:pPr>
        <w:pStyle w:val="CaptionedFigure"/>
      </w:pPr>
      <w:r>
        <w:drawing>
          <wp:inline>
            <wp:extent cx="5334000" cy="7866616"/>
            <wp:effectExtent b="0" l="0" r="0" t="0"/>
            <wp:docPr descr="Рис. 2: Блок-схема алгоритма реализации модели DLA" title="" id="27" name="Picture"/>
            <a:graphic>
              <a:graphicData uri="http://schemas.openxmlformats.org/drawingml/2006/picture">
                <pic:pic>
                  <pic:nvPicPr>
                    <pic:cNvPr descr="image/algorithm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66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Блок-схема алгоритма реализации модели DLA</w:t>
      </w:r>
    </w:p>
    <w:bookmarkEnd w:id="29"/>
    <w:bookmarkEnd w:id="30"/>
    <w:bookmarkStart w:id="35" w:name="алгоритм-выпускания-частицы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Алгоритм выпускания частицы</w:t>
      </w:r>
    </w:p>
    <w:p>
      <w:pPr>
        <w:pStyle w:val="FirstParagraph"/>
      </w:pPr>
      <w:r>
        <w:t xml:space="preserve">Для оптимизации симуляции будем запускать частицы с окружности радиусом немного большим текущего максимального радиуса структуры. Случайные координаты точки на окружности определим по формулам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⋅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⋅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— случайный угол из отрезка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t>π</m:t>
            </m:r>
          </m:e>
        </m:d>
      </m:oMath>
      <w:r>
        <w:t xml:space="preserve">, вычисляемый как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⋅</m:t>
        </m:r>
        <m:r>
          <m:t>r</m:t>
        </m:r>
        <m:r>
          <m:t>a</m:t>
        </m:r>
        <m:r>
          <m:t>n</m:t>
        </m:r>
        <m:r>
          <m:t>d</m:t>
        </m:r>
        <m:r>
          <m:t>o</m:t>
        </m:r>
        <m:r>
          <m:t>m</m:t>
        </m:r>
      </m:oMath>
      <w:r>
        <w:t xml:space="preserve">. Блок-схема алгоритма приведена на рисунке (рис. fig. 3).</w:t>
      </w:r>
    </w:p>
    <w:bookmarkStart w:id="34" w:name="fig:003"/>
    <w:p>
      <w:pPr>
        <w:pStyle w:val="CaptionedFigure"/>
      </w:pPr>
      <w:r>
        <w:drawing>
          <wp:inline>
            <wp:extent cx="2627290" cy="2021983"/>
            <wp:effectExtent b="0" l="0" r="0" t="0"/>
            <wp:docPr descr="Рис. 3: Блок-схема алгоритма выпускания частицы" title="" id="32" name="Picture"/>
            <a:graphic>
              <a:graphicData uri="http://schemas.openxmlformats.org/drawingml/2006/picture">
                <pic:pic>
                  <pic:nvPicPr>
                    <pic:cNvPr descr="image/generateAtRadius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7290" cy="2021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Блок-схема алгоритма выпускания частицы</w:t>
      </w:r>
    </w:p>
    <w:bookmarkEnd w:id="34"/>
    <w:bookmarkEnd w:id="35"/>
    <w:bookmarkStart w:id="36" w:name="случайное-блуждание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Случайное блуждание</w:t>
      </w:r>
    </w:p>
    <w:p>
      <w:pPr>
        <w:pStyle w:val="FirstParagraph"/>
      </w:pPr>
      <w:r>
        <w:t xml:space="preserve">Рассмотрим двумерную решётку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с начальной точкой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. В каждый момент времени частица может совершить один шаг в одном из четырёх направлений: вверх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, вниз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, вправо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t xml:space="preserve">и влево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, обозначаемых как</w:t>
      </w:r>
      <w:r>
        <w:t xml:space="preserve"> </w:t>
      </w:r>
      <m:oMath>
        <m:sSup>
          <m:e>
            <m:r>
              <m:t>v</m:t>
            </m:r>
          </m:e>
          <m:sup>
            <m:r>
              <m:t>u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v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v</m:t>
            </m:r>
          </m:e>
          <m:sup>
            <m:r>
              <m:t>r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v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соответственно.</w:t>
      </w:r>
    </w:p>
    <w:p>
      <w:pPr>
        <w:pStyle w:val="BodyText"/>
      </w:pPr>
      <w:r>
        <w:t xml:space="preserve">Будем моделировать случайное блуждание, при котором частица в каждый момент времени переходит в одну из соседних клеток с равной вероятностью: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v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e>
          </m:nary>
          <m:r>
            <m:rPr>
              <m:sty m:val="p"/>
            </m:rPr>
            <m:t>,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v</m:t>
                  </m:r>
                </m:e>
                <m:sub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Sup>
          <m:e>
            <m:r>
              <m:t>v</m:t>
            </m:r>
          </m:e>
          <m:sub>
            <m:r>
              <m:t>n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— случайное направление шага,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— общее число шагов.</w:t>
      </w:r>
    </w:p>
    <w:bookmarkEnd w:id="36"/>
    <w:bookmarkStart w:id="41" w:name="алгоритм-движения-частицы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Алгоритм движения частицы</w:t>
      </w:r>
    </w:p>
    <w:p>
      <w:pPr>
        <w:pStyle w:val="FirstParagraph"/>
      </w:pPr>
      <w:r>
        <w:t xml:space="preserve">Реализуем функцию, проверяющую положение частицы. Если она находится у границы поля — установим флаг</w:t>
      </w:r>
      <w:r>
        <w:t xml:space="preserve"> </w:t>
      </w:r>
      <w:r>
        <w:rPr>
          <w:rStyle w:val="VerbatimChar"/>
        </w:rPr>
        <w:t xml:space="preserve">isAtBoundary</w:t>
      </w:r>
      <w:r>
        <w:t xml:space="preserve">. Далее проверим, находится ли она рядом с уже присоединёнными частицами (</w:t>
      </w:r>
      <w:r>
        <w:rPr>
          <w:rStyle w:val="VerbatimChar"/>
        </w:rPr>
        <w:t xml:space="preserve">foundNeighbor</w:t>
      </w:r>
      <w:r>
        <w:t xml:space="preserve">) или вышла за допустимый радиус (</w:t>
      </w:r>
      <w:r>
        <w:rPr>
          <w:rStyle w:val="VerbatimChar"/>
        </w:rPr>
        <w:t xml:space="preserve">isOutsideBoundary</w:t>
      </w:r>
      <w:r>
        <w:t xml:space="preserve">).</w:t>
      </w:r>
    </w:p>
    <w:p>
      <w:pPr>
        <w:pStyle w:val="BodyText"/>
      </w:pPr>
      <w:r>
        <w:t xml:space="preserve">Если ни одно из условий не выполнено, продолжим блуждание, выбрав новое направление движения. Функция возвращает новые координаты частицы, а также логические флаги, указывающие на нахождение у границы, вблизи других частиц или за пределами радиуса. Алгоритм изображён на схеме (рис. fig. 4).</w:t>
      </w:r>
    </w:p>
    <w:bookmarkStart w:id="40" w:name="fig:004"/>
    <w:p>
      <w:pPr>
        <w:pStyle w:val="CaptionedFigure"/>
      </w:pPr>
      <w:r>
        <w:drawing>
          <wp:inline>
            <wp:extent cx="5334000" cy="3445351"/>
            <wp:effectExtent b="0" l="0" r="0" t="0"/>
            <wp:docPr descr="Рис. 4: Блок-схема алгоритма движения частицы" title="" id="38" name="Picture"/>
            <a:graphic>
              <a:graphicData uri="http://schemas.openxmlformats.org/drawingml/2006/picture">
                <pic:pic>
                  <pic:nvPicPr>
                    <pic:cNvPr descr="image/hasNeighbor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5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Блок-схема алгоритма движения частицы</w:t>
      </w:r>
    </w:p>
    <w:bookmarkEnd w:id="40"/>
    <w:bookmarkEnd w:id="41"/>
    <w:bookmarkEnd w:id="42"/>
    <w:bookmarkStart w:id="43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второго этапа проекта мы подробно рассмотрели алгоритм DLA и предложили способ его реализации. Были разработаны блок-схемы, отражающие ключевые этапы работы алгоритма и моделирования фрактальных структур.</w:t>
      </w:r>
    </w:p>
    <w:bookmarkEnd w:id="43"/>
    <w:bookmarkStart w:id="47" w:name="список-литературы"/>
    <w:p>
      <w:pPr>
        <w:pStyle w:val="Heading1"/>
      </w:pPr>
      <w:r>
        <w:t xml:space="preserve">Список литературы</w:t>
      </w:r>
    </w:p>
    <w:bookmarkStart w:id="46" w:name="refs"/>
    <w:bookmarkStart w:id="44" w:name="ref-sander2000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Sander L.M.</w:t>
      </w:r>
      <w:r>
        <w:t xml:space="preserve"> </w:t>
      </w:r>
      <w:r>
        <w:t xml:space="preserve">Diffusion-limited aggregation: A kinetic critical phenomenon?</w:t>
      </w:r>
      <w:r>
        <w:t xml:space="preserve"> Contemporary Physics, 2000.</w:t>
      </w:r>
    </w:p>
    <w:bookmarkEnd w:id="44"/>
    <w:bookmarkStart w:id="45" w:name="ref-medvedev2010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Медведев Д.А. и др.</w:t>
      </w:r>
      <w:r>
        <w:t xml:space="preserve"> </w:t>
      </w:r>
      <w:r>
        <w:t xml:space="preserve">Моделирование физических процессов и явлений на ПК: Учеб. пособие</w:t>
      </w:r>
      <w:r>
        <w:t xml:space="preserve">. Новосибирск: Новосиб. гос. ун-т, 2010.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26" Target="media/rId26.jpg" /><Relationship Type="http://schemas.openxmlformats.org/officeDocument/2006/relationships/image" Id="rId31" Target="media/rId31.jpg" /><Relationship Type="http://schemas.openxmlformats.org/officeDocument/2006/relationships/image" Id="rId37" Target="media/rId37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второму этапу проекта</dc:title>
  <dc:creator>Ищенко И. О.,; Мишина А. А.,; Дикач А. О.,; Барсегян В. Л.,; Галацан Н. И.,; Дудырев Г. А.</dc:creator>
  <dc:language>ru-RU</dc:language>
  <cp:keywords/>
  <dcterms:created xsi:type="dcterms:W3CDTF">2025-04-11T20:59:30Z</dcterms:created>
  <dcterms:modified xsi:type="dcterms:W3CDTF">2025-04-11T20:59:30Z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options">
    <vt:lpwstr/>
  </property>
  <property fmtid="{D5CDD505-2E9C-101B-9397-08002B2CF9AE}" pid="7" name="biblio-style">
    <vt:lpwstr>gost-numeric</vt:lpwstr>
  </property>
  <property fmtid="{D5CDD505-2E9C-101B-9397-08002B2CF9AE}" pid="8" name="bibliography">
    <vt:lpwstr>bib/cite.bib</vt:lpwstr>
  </property>
  <property fmtid="{D5CDD505-2E9C-101B-9397-08002B2CF9AE}" pid="9" name="ccsDelim">
    <vt:lpwstr>, </vt:lpwstr>
  </property>
  <property fmtid="{D5CDD505-2E9C-101B-9397-08002B2CF9AE}" pid="10" name="ccsLabelSep">
    <vt:lpwstr> — </vt:lpwstr>
  </property>
  <property fmtid="{D5CDD505-2E9C-101B-9397-08002B2CF9AE}" pid="11" name="ccsTemplate">
    <vt:lpwstr>iccsLabelSept</vt:lpwstr>
  </property>
  <property fmtid="{D5CDD505-2E9C-101B-9397-08002B2CF9AE}" pid="12" name="chapDelim">
    <vt:lpwstr>.</vt:lpwstr>
  </property>
  <property fmtid="{D5CDD505-2E9C-101B-9397-08002B2CF9AE}" pid="13" name="chapters">
    <vt:lpwstr>False</vt:lpwstr>
  </property>
  <property fmtid="{D5CDD505-2E9C-101B-9397-08002B2CF9AE}" pid="14" name="chaptersDepth">
    <vt:lpwstr>1</vt:lpwstr>
  </property>
  <property fmtid="{D5CDD505-2E9C-101B-9397-08002B2CF9AE}" pid="15" name="codeBlockCaptions">
    <vt:lpwstr>False</vt:lpwstr>
  </property>
  <property fmtid="{D5CDD505-2E9C-101B-9397-08002B2CF9AE}" pid="16" name="cref">
    <vt:lpwstr>False</vt:lpwstr>
  </property>
  <property fmtid="{D5CDD505-2E9C-101B-9397-08002B2CF9AE}" pid="17" name="crossrefYaml">
    <vt:lpwstr>pandoc-crossref.yaml</vt:lpwstr>
  </property>
  <property fmtid="{D5CDD505-2E9C-101B-9397-08002B2CF9AE}" pid="18" name="csl">
    <vt:lpwstr>pandoc/csl/gost-r-7-0-5-2008-numeric.csl</vt:lpwstr>
  </property>
  <property fmtid="{D5CDD505-2E9C-101B-9397-08002B2CF9AE}" pid="19" name="documentclass">
    <vt:lpwstr>scrreprt</vt:lpwstr>
  </property>
  <property fmtid="{D5CDD505-2E9C-101B-9397-08002B2CF9AE}" pid="20" name="eqLabels">
    <vt:lpwstr>arabic</vt:lpwstr>
  </property>
  <property fmtid="{D5CDD505-2E9C-101B-9397-08002B2CF9AE}" pid="21" name="eqnBlockInlineMath">
    <vt:lpwstr>False</vt:lpwstr>
  </property>
  <property fmtid="{D5CDD505-2E9C-101B-9397-08002B2CF9AE}" pid="22" name="eqnBlockTemplate">
    <vt:lpwstr>ti</vt:lpwstr>
  </property>
  <property fmtid="{D5CDD505-2E9C-101B-9397-08002B2CF9AE}" pid="23" name="eqnDisplayTemplate">
    <vt:lpwstr>e</vt:lpwstr>
  </property>
  <property fmtid="{D5CDD505-2E9C-101B-9397-08002B2CF9AE}" pid="24" name="eqnIndexTemplate">
    <vt:lpwstr>(i)</vt:lpwstr>
  </property>
  <property fmtid="{D5CDD505-2E9C-101B-9397-08002B2CF9AE}" pid="25" name="eqnInlineTableTemplate">
    <vt:lpwstr>e</vt:lpwstr>
  </property>
  <property fmtid="{D5CDD505-2E9C-101B-9397-08002B2CF9AE}" pid="26" name="eqnInlineTemplate">
    <vt:lpwstr>eequationNumberTeX{i}</vt:lpwstr>
  </property>
  <property fmtid="{D5CDD505-2E9C-101B-9397-08002B2CF9AE}" pid="27" name="eqnPrefix">
    <vt:lpwstr/>
  </property>
  <property fmtid="{D5CDD505-2E9C-101B-9397-08002B2CF9AE}" pid="28" name="eqnPrefixTemplate">
    <vt:lpwstr>p i</vt:lpwstr>
  </property>
  <property fmtid="{D5CDD505-2E9C-101B-9397-08002B2CF9AE}" pid="29" name="equationNumberTeX">
    <vt:lpwstr>\qquad</vt:lpwstr>
  </property>
  <property fmtid="{D5CDD505-2E9C-101B-9397-08002B2CF9AE}" pid="30" name="figLabels">
    <vt:lpwstr>arabic</vt:lpwstr>
  </property>
  <property fmtid="{D5CDD505-2E9C-101B-9397-08002B2CF9AE}" pid="31" name="figPrefix">
    <vt:lpwstr/>
  </property>
  <property fmtid="{D5CDD505-2E9C-101B-9397-08002B2CF9AE}" pid="32" name="figPrefixTemplate">
    <vt:lpwstr>p i</vt:lpwstr>
  </property>
  <property fmtid="{D5CDD505-2E9C-101B-9397-08002B2CF9AE}" pid="33" name="figureTemplate">
    <vt:lpwstr>figureTitle ititleDelim t</vt:lpwstr>
  </property>
  <property fmtid="{D5CDD505-2E9C-101B-9397-08002B2CF9AE}" pid="34" name="figureTitle">
    <vt:lpwstr>Рис.</vt:lpwstr>
  </property>
  <property fmtid="{D5CDD505-2E9C-101B-9397-08002B2CF9AE}" pid="35" name="fontsize">
    <vt:lpwstr>12pt</vt:lpwstr>
  </property>
  <property fmtid="{D5CDD505-2E9C-101B-9397-08002B2CF9AE}" pid="36" name="header-includes">
    <vt:lpwstr/>
  </property>
  <property fmtid="{D5CDD505-2E9C-101B-9397-08002B2CF9AE}" pid="37" name="indent">
    <vt:lpwstr>True</vt:lpwstr>
  </property>
  <property fmtid="{D5CDD505-2E9C-101B-9397-08002B2CF9AE}" pid="38" name="lastDelim">
    <vt:lpwstr>, </vt:lpwstr>
  </property>
  <property fmtid="{D5CDD505-2E9C-101B-9397-08002B2CF9AE}" pid="39" name="linestretch">
    <vt:lpwstr>1.5</vt:lpwstr>
  </property>
  <property fmtid="{D5CDD505-2E9C-101B-9397-08002B2CF9AE}" pid="40" name="linkReferences">
    <vt:lpwstr>False</vt:lpwstr>
  </property>
  <property fmtid="{D5CDD505-2E9C-101B-9397-08002B2CF9AE}" pid="41" name="listItemTitleDelim">
    <vt:lpwstr>.</vt:lpwstr>
  </property>
  <property fmtid="{D5CDD505-2E9C-101B-9397-08002B2CF9AE}" pid="42" name="listingTemplate">
    <vt:lpwstr>listingTitle ititleDelim t</vt:lpwstr>
  </property>
  <property fmtid="{D5CDD505-2E9C-101B-9397-08002B2CF9AE}" pid="43" name="listingTitle">
    <vt:lpwstr>Листинг</vt:lpwstr>
  </property>
  <property fmtid="{D5CDD505-2E9C-101B-9397-08002B2CF9AE}" pid="44" name="listings">
    <vt:lpwstr>False</vt:lpwstr>
  </property>
  <property fmtid="{D5CDD505-2E9C-101B-9397-08002B2CF9AE}" pid="45" name="lof">
    <vt:lpwstr>True</vt:lpwstr>
  </property>
  <property fmtid="{D5CDD505-2E9C-101B-9397-08002B2CF9AE}" pid="46" name="lofItemTemplate">
    <vt:lpwstr>lofItemTitleilistItemTitleDelimt </vt:lpwstr>
  </property>
  <property fmtid="{D5CDD505-2E9C-101B-9397-08002B2CF9AE}" pid="47" name="lofItemTitle">
    <vt:lpwstr/>
  </property>
  <property fmtid="{D5CDD505-2E9C-101B-9397-08002B2CF9AE}" pid="48" name="lofTitle">
    <vt:lpwstr>Список иллюстраций</vt:lpwstr>
  </property>
  <property fmtid="{D5CDD505-2E9C-101B-9397-08002B2CF9AE}" pid="49" name="lolItemTemplate">
    <vt:lpwstr>lolItemTitleilistItemTitleDelimt </vt:lpwstr>
  </property>
  <property fmtid="{D5CDD505-2E9C-101B-9397-08002B2CF9AE}" pid="50" name="lolItemTitle">
    <vt:lpwstr/>
  </property>
  <property fmtid="{D5CDD505-2E9C-101B-9397-08002B2CF9AE}" pid="51" name="lolTitle">
    <vt:lpwstr>Листинги</vt:lpwstr>
  </property>
  <property fmtid="{D5CDD505-2E9C-101B-9397-08002B2CF9AE}" pid="52" name="lot">
    <vt:lpwstr>True</vt:lpwstr>
  </property>
  <property fmtid="{D5CDD505-2E9C-101B-9397-08002B2CF9AE}" pid="53" name="lotItemTemplate">
    <vt:lpwstr>lotItemTitleilistItemTitleDelimt </vt:lpwstr>
  </property>
  <property fmtid="{D5CDD505-2E9C-101B-9397-08002B2CF9AE}" pid="54" name="lotItemTitle">
    <vt:lpwstr/>
  </property>
  <property fmtid="{D5CDD505-2E9C-101B-9397-08002B2CF9AE}" pid="55" name="lotTitle">
    <vt:lpwstr>Список таблиц</vt:lpwstr>
  </property>
  <property fmtid="{D5CDD505-2E9C-101B-9397-08002B2CF9AE}" pid="56" name="lstLabels">
    <vt:lpwstr>arabic</vt:lpwstr>
  </property>
  <property fmtid="{D5CDD505-2E9C-101B-9397-08002B2CF9AE}" pid="57" name="lstPrefix">
    <vt:lpwstr/>
  </property>
  <property fmtid="{D5CDD505-2E9C-101B-9397-08002B2CF9AE}" pid="58" name="lstPrefixTemplate">
    <vt:lpwstr>p i</vt:lpwstr>
  </property>
  <property fmtid="{D5CDD505-2E9C-101B-9397-08002B2CF9AE}" pid="59" name="mainfont">
    <vt:lpwstr>IBM Plex Serif</vt:lpwstr>
  </property>
  <property fmtid="{D5CDD505-2E9C-101B-9397-08002B2CF9AE}" pid="60" name="mainfontoptions">
    <vt:lpwstr>Ligatures=Common,Ligatures=TeX,Scale=0.94</vt:lpwstr>
  </property>
  <property fmtid="{D5CDD505-2E9C-101B-9397-08002B2CF9AE}" pid="61" name="mathfont">
    <vt:lpwstr>STIX Two Math</vt:lpwstr>
  </property>
  <property fmtid="{D5CDD505-2E9C-101B-9397-08002B2CF9AE}" pid="62" name="mathfontoptions">
    <vt:lpwstr/>
  </property>
  <property fmtid="{D5CDD505-2E9C-101B-9397-08002B2CF9AE}" pid="63" name="monofont">
    <vt:lpwstr>IBM Plex Mono</vt:lpwstr>
  </property>
  <property fmtid="{D5CDD505-2E9C-101B-9397-08002B2CF9AE}" pid="64" name="monofontoptions">
    <vt:lpwstr>Scale=MatchLowercase,Scale=0.94,FakeStretch=0.9</vt:lpwstr>
  </property>
  <property fmtid="{D5CDD505-2E9C-101B-9397-08002B2CF9AE}" pid="65" name="nameInLink">
    <vt:lpwstr>False</vt:lpwstr>
  </property>
  <property fmtid="{D5CDD505-2E9C-101B-9397-08002B2CF9AE}" pid="66" name="numberSections">
    <vt:lpwstr>False</vt:lpwstr>
  </property>
  <property fmtid="{D5CDD505-2E9C-101B-9397-08002B2CF9AE}" pid="67" name="pairDelim">
    <vt:lpwstr>, </vt:lpwstr>
  </property>
  <property fmtid="{D5CDD505-2E9C-101B-9397-08002B2CF9AE}" pid="68" name="papersize">
    <vt:lpwstr>a4</vt:lpwstr>
  </property>
  <property fmtid="{D5CDD505-2E9C-101B-9397-08002B2CF9AE}" pid="69" name="polyglossia-lang">
    <vt:lpwstr/>
  </property>
  <property fmtid="{D5CDD505-2E9C-101B-9397-08002B2CF9AE}" pid="70" name="polyglossia-otherlangs">
    <vt:lpwstr/>
  </property>
  <property fmtid="{D5CDD505-2E9C-101B-9397-08002B2CF9AE}" pid="71" name="rangeDelim">
    <vt:lpwstr>-</vt:lpwstr>
  </property>
  <property fmtid="{D5CDD505-2E9C-101B-9397-08002B2CF9AE}" pid="72" name="refDelim">
    <vt:lpwstr>, </vt:lpwstr>
  </property>
  <property fmtid="{D5CDD505-2E9C-101B-9397-08002B2CF9AE}" pid="73" name="refIndexTemplate">
    <vt:lpwstr>isuf</vt:lpwstr>
  </property>
  <property fmtid="{D5CDD505-2E9C-101B-9397-08002B2CF9AE}" pid="74" name="romanfont">
    <vt:lpwstr>IBM Plex Serif</vt:lpwstr>
  </property>
  <property fmtid="{D5CDD505-2E9C-101B-9397-08002B2CF9AE}" pid="75" name="romanfontoptions">
    <vt:lpwstr>Ligatures=Common,Ligatures=TeX,Scale=0.94</vt:lpwstr>
  </property>
  <property fmtid="{D5CDD505-2E9C-101B-9397-08002B2CF9AE}" pid="76" name="sansfont">
    <vt:lpwstr>IBM Plex Sans</vt:lpwstr>
  </property>
  <property fmtid="{D5CDD505-2E9C-101B-9397-08002B2CF9AE}" pid="77" name="sansfontoptions">
    <vt:lpwstr>Ligatures=Common,Ligatures=TeX,Scale=MatchLowercase,Scale=0.94</vt:lpwstr>
  </property>
  <property fmtid="{D5CDD505-2E9C-101B-9397-08002B2CF9AE}" pid="78" name="secHeaderDelim">
    <vt:lpwstr> </vt:lpwstr>
  </property>
  <property fmtid="{D5CDD505-2E9C-101B-9397-08002B2CF9AE}" pid="79" name="secHeaderTemplate">
    <vt:lpwstr>isecHeaderDelim[n]t</vt:lpwstr>
  </property>
  <property fmtid="{D5CDD505-2E9C-101B-9397-08002B2CF9AE}" pid="80" name="secLabels">
    <vt:lpwstr>arabic</vt:lpwstr>
  </property>
  <property fmtid="{D5CDD505-2E9C-101B-9397-08002B2CF9AE}" pid="81" name="secPrefix">
    <vt:lpwstr/>
  </property>
  <property fmtid="{D5CDD505-2E9C-101B-9397-08002B2CF9AE}" pid="82" name="secPrefixTemplate">
    <vt:lpwstr>p i</vt:lpwstr>
  </property>
  <property fmtid="{D5CDD505-2E9C-101B-9397-08002B2CF9AE}" pid="83" name="sectionsDepth">
    <vt:lpwstr>0</vt:lpwstr>
  </property>
  <property fmtid="{D5CDD505-2E9C-101B-9397-08002B2CF9AE}" pid="84" name="subfigGrid">
    <vt:lpwstr>False</vt:lpwstr>
  </property>
  <property fmtid="{D5CDD505-2E9C-101B-9397-08002B2CF9AE}" pid="85" name="subfigLabels">
    <vt:lpwstr>alpha a</vt:lpwstr>
  </property>
  <property fmtid="{D5CDD505-2E9C-101B-9397-08002B2CF9AE}" pid="86" name="subfigureChildTemplate">
    <vt:lpwstr>i</vt:lpwstr>
  </property>
  <property fmtid="{D5CDD505-2E9C-101B-9397-08002B2CF9AE}" pid="87" name="subfigureRefIndexTemplate">
    <vt:lpwstr>isuf (s)</vt:lpwstr>
  </property>
  <property fmtid="{D5CDD505-2E9C-101B-9397-08002B2CF9AE}" pid="88" name="subfigureTemplate">
    <vt:lpwstr>figureTitle ititleDelim t. ccs</vt:lpwstr>
  </property>
  <property fmtid="{D5CDD505-2E9C-101B-9397-08002B2CF9AE}" pid="89" name="subtitle">
    <vt:lpwstr>Неравновесная агрегация, фракталы</vt:lpwstr>
  </property>
  <property fmtid="{D5CDD505-2E9C-101B-9397-08002B2CF9AE}" pid="90" name="tableEqns">
    <vt:lpwstr>False</vt:lpwstr>
  </property>
  <property fmtid="{D5CDD505-2E9C-101B-9397-08002B2CF9AE}" pid="91" name="tableTemplate">
    <vt:lpwstr>tableTitle ititleDelim t</vt:lpwstr>
  </property>
  <property fmtid="{D5CDD505-2E9C-101B-9397-08002B2CF9AE}" pid="92" name="tableTitle">
    <vt:lpwstr>Таблица</vt:lpwstr>
  </property>
  <property fmtid="{D5CDD505-2E9C-101B-9397-08002B2CF9AE}" pid="93" name="tblLabels">
    <vt:lpwstr>arabic</vt:lpwstr>
  </property>
  <property fmtid="{D5CDD505-2E9C-101B-9397-08002B2CF9AE}" pid="94" name="tblPrefix">
    <vt:lpwstr/>
  </property>
  <property fmtid="{D5CDD505-2E9C-101B-9397-08002B2CF9AE}" pid="95" name="tblPrefixTemplate">
    <vt:lpwstr>p i</vt:lpwstr>
  </property>
  <property fmtid="{D5CDD505-2E9C-101B-9397-08002B2CF9AE}" pid="96" name="titleDelim">
    <vt:lpwstr>:</vt:lpwstr>
  </property>
  <property fmtid="{D5CDD505-2E9C-101B-9397-08002B2CF9AE}" pid="97" name="toc">
    <vt:lpwstr>True</vt:lpwstr>
  </property>
  <property fmtid="{D5CDD505-2E9C-101B-9397-08002B2CF9AE}" pid="98" name="toc-depth">
    <vt:lpwstr>2</vt:lpwstr>
  </property>
  <property fmtid="{D5CDD505-2E9C-101B-9397-08002B2CF9AE}" pid="99" name="toc-title">
    <vt:lpwstr>Содержание</vt:lpwstr>
  </property>
</Properties>
</file>