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Product Requirements Document (PRD)</w:t>
      </w:r>
    </w:p>
    <w:p>
      <w:pPr>
        <w:spacing w:before="0" w:after="240"/>
        <w:jc w:val="left"/>
      </w:pPr>
      <w:r>
        <w:rPr>
          <w:rFonts w:ascii="Segoe UI" w:hAnsi="Segoe UI"/>
          <w:i/>
          <w:color w:val="0077B6"/>
          <w:sz w:val="24"/>
        </w:rPr>
        <w:t>Clinical Intelligence, Multimodal Medical OCR &amp; National Health Command Platform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F1F5F9"/>
          </w:tcPr>
          <w:p>
            <w:pPr>
              <w:spacing w:before="40" w:after="40"/>
            </w:pPr>
            <w:r>
              <w:rPr>
                <w:rFonts w:ascii="Segoe UI" w:hAnsi="Segoe UI"/>
                <w:b/>
                <w:color w:val="0A2540"/>
                <w:sz w:val="18"/>
              </w:rPr>
              <w:t>Project</w:t>
            </w:r>
          </w:p>
        </w:tc>
        <w:tc>
          <w:tcPr>
            <w:tcW w:type="dxa" w:w="2592"/>
            <w:shd w:fill="F8FAFC"/>
          </w:tcPr>
          <w:p>
            <w:pPr>
              <w:spacing w:before="40" w:after="40"/>
            </w:pPr>
            <w:r>
              <w:rPr>
                <w:rFonts w:ascii="Segoe UI" w:hAnsi="Segoe UI"/>
                <w:color w:val="1E293B"/>
                <w:sz w:val="18"/>
              </w:rPr>
              <w:t>DocMindX AI v2.0</w:t>
            </w:r>
          </w:p>
        </w:tc>
        <w:tc>
          <w:tcPr>
            <w:tcW w:type="dxa" w:w="2160"/>
            <w:shd w:fill="F1F5F9"/>
          </w:tcPr>
          <w:p>
            <w:pPr>
              <w:spacing w:before="40" w:after="40"/>
            </w:pPr>
            <w:r>
              <w:rPr>
                <w:rFonts w:ascii="Segoe UI" w:hAnsi="Segoe UI"/>
                <w:b/>
                <w:color w:val="0A2540"/>
                <w:sz w:val="18"/>
              </w:rPr>
              <w:t>Author</w:t>
            </w:r>
          </w:p>
        </w:tc>
        <w:tc>
          <w:tcPr>
            <w:tcW w:type="dxa" w:w="2448"/>
            <w:shd w:fill="F8FAFC"/>
          </w:tcPr>
          <w:p>
            <w:pPr>
              <w:spacing w:before="40" w:after="40"/>
            </w:pPr>
            <w:r>
              <w:rPr>
                <w:rFonts w:ascii="Segoe UI" w:hAnsi="Segoe UI"/>
                <w:color w:val="1E293B"/>
                <w:sz w:val="18"/>
              </w:rPr>
              <w:t>Daksh Vasani</w:t>
            </w:r>
          </w:p>
        </w:tc>
      </w:tr>
      <w:tr>
        <w:tc>
          <w:tcPr>
            <w:tcW w:type="dxa" w:w="2160"/>
            <w:shd w:fill="F1F5F9"/>
          </w:tcPr>
          <w:p>
            <w:pPr>
              <w:spacing w:before="40" w:after="40"/>
            </w:pPr>
            <w:r>
              <w:rPr>
                <w:rFonts w:ascii="Segoe UI" w:hAnsi="Segoe UI"/>
                <w:b/>
                <w:color w:val="0A2540"/>
                <w:sz w:val="18"/>
              </w:rPr>
              <w:t>Track</w:t>
            </w:r>
          </w:p>
        </w:tc>
        <w:tc>
          <w:tcPr>
            <w:tcW w:type="dxa" w:w="2592"/>
            <w:shd w:fill="F8FAFC"/>
          </w:tcPr>
          <w:p>
            <w:pPr>
              <w:spacing w:before="40" w:after="40"/>
            </w:pPr>
            <w:r>
              <w:rPr>
                <w:rFonts w:ascii="Segoe UI" w:hAnsi="Segoe UI"/>
                <w:color w:val="1E293B"/>
                <w:sz w:val="18"/>
              </w:rPr>
              <w:t>Smart Health &amp; Supply Chain</w:t>
            </w:r>
          </w:p>
        </w:tc>
        <w:tc>
          <w:tcPr>
            <w:tcW w:type="dxa" w:w="2160"/>
            <w:shd w:fill="F1F5F9"/>
          </w:tcPr>
          <w:p>
            <w:pPr>
              <w:spacing w:before="40" w:after="40"/>
            </w:pPr>
            <w:r>
              <w:rPr>
                <w:rFonts w:ascii="Segoe UI" w:hAnsi="Segoe UI"/>
                <w:b/>
                <w:color w:val="0A2540"/>
                <w:sz w:val="18"/>
              </w:rPr>
              <w:t>Status</w:t>
            </w:r>
          </w:p>
        </w:tc>
        <w:tc>
          <w:tcPr>
            <w:tcW w:type="dxa" w:w="2448"/>
            <w:shd w:fill="F8FAFC"/>
          </w:tcPr>
          <w:p>
            <w:pPr>
              <w:spacing w:before="40" w:after="40"/>
            </w:pPr>
            <w:r>
              <w:rPr>
                <w:rFonts w:ascii="Segoe UI" w:hAnsi="Segoe UI"/>
                <w:color w:val="1E293B"/>
                <w:sz w:val="18"/>
              </w:rPr>
              <w:t>Production Ready / Verified</w:t>
            </w:r>
          </w:p>
        </w:tc>
      </w:tr>
    </w:tbl>
    <w:p>
      <w:pPr>
        <w:spacing w:before="240" w:after="160"/>
      </w:pPr>
    </w:p>
    <w:p>
      <w:pPr>
        <w:keepNext/>
        <w:spacing w:before="360" w:after="120"/>
      </w:pPr>
      <w:r>
        <w:rPr>
          <w:rFonts w:ascii="Segoe UI" w:hAnsi="Segoe UI"/>
          <w:b/>
          <w:color w:val="0A2540"/>
          <w:sz w:val="32"/>
        </w:rPr>
        <w:t>1. Executive Summary &amp; Product Vision (The 'Why')</w:t>
      </w:r>
    </w:p>
    <w:p>
      <w:pPr>
        <w:spacing w:before="0" w:after="80" w:line="276" w:lineRule="auto"/>
      </w:pPr>
      <w:r>
        <w:rPr>
          <w:rFonts w:ascii="Segoe UI" w:hAnsi="Segoe UI"/>
          <w:i w:val="0"/>
          <w:color w:val="1E293B"/>
          <w:sz w:val="20"/>
        </w:rPr>
        <w:t>DocMindX AI is an enterprise-grade clinical healthcare intelligence and public health supply chain resilience platform designed specifically to solve foundational bottlenecks in India's primary and secondary healthcare delivery ecosystems. Healthcare access in India is acutely bifurcated: while tertiary private hospitals in metropolitan hubs possess world-class diagnostics, over 70% of the population residing in rural, semi-urban, and aspirational districts relies on under-resourced Primary Health Centres (PHCs) and Community Health Centres (CHCs).</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[DocMindX AI Vision]</w:t>
              <w:br/>
            </w:r>
            <w:r>
              <w:rPr>
                <w:rFonts w:ascii="Segoe UI" w:hAnsi="Segoe UI"/>
                <w:color w:val="1E293B"/>
                <w:sz w:val="19"/>
              </w:rPr>
              <w:t>Vision Statement: Democratize clinical diagnostic triage across native Indic languages, eliminate ambiguity in handwritten medical documents, and establish predictive, zero-stockout supply chain resilience across 30,000+ public health facilities.</w:t>
            </w:r>
          </w:p>
        </w:tc>
      </w:tr>
    </w:tbl>
    <w:p>
      <w:pPr>
        <w:spacing w:before="80" w:after="80"/>
      </w:pPr>
    </w:p>
    <w:p>
      <w:pPr>
        <w:keepNext/>
        <w:spacing w:before="240" w:after="80"/>
      </w:pPr>
      <w:r>
        <w:rPr>
          <w:rFonts w:ascii="Segoe UI" w:hAnsi="Segoe UI"/>
          <w:b/>
          <w:color w:val="0077B6"/>
          <w:sz w:val="25"/>
        </w:rPr>
        <w:t>1.1 The Core Healthcare Problems Addressed</w:t>
      </w:r>
    </w:p>
    <w:p>
      <w:pPr>
        <w:pStyle w:val="ListBullet"/>
        <w:spacing w:before="0" w:after="60" w:line="276" w:lineRule="auto"/>
        <w:ind w:left="360"/>
      </w:pPr>
      <w:r>
        <w:rPr>
          <w:rFonts w:ascii="Segoe UI" w:hAnsi="Segoe UI"/>
          <w:b/>
          <w:color w:val="1E293B"/>
          <w:sz w:val="20"/>
        </w:rPr>
        <w:t>Primary Triage Bottleneck:</w:t>
      </w:r>
      <w:r>
        <w:rPr>
          <w:rFonts w:ascii="Segoe UI" w:hAnsi="Segoe UI"/>
          <w:color w:val="1E293B"/>
          <w:sz w:val="20"/>
        </w:rPr>
        <w:t xml:space="preserve"> Severe shortage of diagnostic specialists and tertiary triage doctors at the rural primary care level, leading to delayed diagnoses and preventable mortality.</w:t>
      </w:r>
    </w:p>
    <w:p>
      <w:pPr>
        <w:pStyle w:val="ListBullet"/>
        <w:spacing w:before="0" w:after="60" w:line="276" w:lineRule="auto"/>
        <w:ind w:left="360"/>
      </w:pPr>
      <w:r>
        <w:rPr>
          <w:rFonts w:ascii="Segoe UI" w:hAnsi="Segoe UI"/>
          <w:b/>
          <w:color w:val="1E293B"/>
          <w:sz w:val="20"/>
        </w:rPr>
        <w:t>Language &amp; Literacy Barriers:</w:t>
      </w:r>
      <w:r>
        <w:rPr>
          <w:rFonts w:ascii="Segoe UI" w:hAnsi="Segoe UI"/>
          <w:color w:val="1E293B"/>
          <w:sz w:val="20"/>
        </w:rPr>
        <w:t xml:space="preserve"> Millions of citizens cannot articulate medical symptoms accurately in standard English or technical medical vocabulary. Over 90% of rural patients speak Hindi, Gujarati, Marathi, Bengali, Telugu, or colloquial Hinglish.</w:t>
      </w:r>
    </w:p>
    <w:p>
      <w:pPr>
        <w:pStyle w:val="ListBullet"/>
        <w:spacing w:before="0" w:after="60" w:line="276" w:lineRule="auto"/>
        <w:ind w:left="360"/>
      </w:pPr>
      <w:r>
        <w:rPr>
          <w:rFonts w:ascii="Segoe UI" w:hAnsi="Segoe UI"/>
          <w:b/>
          <w:color w:val="1E293B"/>
          <w:sz w:val="20"/>
        </w:rPr>
        <w:t>Prescription Ambiguity:</w:t>
      </w:r>
      <w:r>
        <w:rPr>
          <w:rFonts w:ascii="Segoe UI" w:hAnsi="Segoe UI"/>
          <w:color w:val="1E293B"/>
          <w:sz w:val="20"/>
        </w:rPr>
        <w:t xml:space="preserve"> Illegible handwritten doctor prescriptions cause frequent medication administration errors, adverse drug-to-drug interactions, and patient anxiety.</w:t>
      </w:r>
    </w:p>
    <w:p>
      <w:pPr>
        <w:pStyle w:val="ListBullet"/>
        <w:spacing w:before="0" w:after="60" w:line="276" w:lineRule="auto"/>
        <w:ind w:left="360"/>
      </w:pPr>
      <w:r>
        <w:rPr>
          <w:rFonts w:ascii="Segoe UI" w:hAnsi="Segoe UI"/>
          <w:b/>
          <w:color w:val="1E293B"/>
          <w:sz w:val="20"/>
        </w:rPr>
        <w:t>Diagnostic Anxiety:</w:t>
      </w:r>
      <w:r>
        <w:rPr>
          <w:rFonts w:ascii="Segoe UI" w:hAnsi="Segoe UI"/>
          <w:color w:val="1E293B"/>
          <w:sz w:val="20"/>
        </w:rPr>
        <w:t xml:space="preserve"> Laboratory and radiology reports contain dense biochemical terminology and reference intervals that patients cannot decipher, leading to excessive anxiety or false complacency.</w:t>
      </w:r>
    </w:p>
    <w:p>
      <w:pPr>
        <w:pStyle w:val="ListBullet"/>
        <w:spacing w:before="0" w:after="60" w:line="276" w:lineRule="auto"/>
        <w:ind w:left="360"/>
      </w:pPr>
      <w:r>
        <w:rPr>
          <w:rFonts w:ascii="Segoe UI" w:hAnsi="Segoe UI"/>
          <w:b/>
          <w:color w:val="1E293B"/>
          <w:sz w:val="20"/>
        </w:rPr>
        <w:t>Public Health Supply Chain Fragility:</w:t>
      </w:r>
      <w:r>
        <w:rPr>
          <w:rFonts w:ascii="Segoe UI" w:hAnsi="Segoe UI"/>
          <w:color w:val="1E293B"/>
          <w:sz w:val="20"/>
        </w:rPr>
        <w:t xml:space="preserve"> Seasonal epidemics (Monsoon Dengue, Summer Heatwave, Flood-induced Leptospirosis) cause severe supply chain shocks, resulting in sudden stockouts of life-saving medicines (NLEM 2022) at PHC/CHC facilities.</w:t>
      </w:r>
    </w:p>
    <w:p>
      <w:pPr>
        <w:keepNext/>
        <w:spacing w:before="240" w:after="80"/>
      </w:pPr>
      <w:r>
        <w:rPr>
          <w:rFonts w:ascii="Segoe UI" w:hAnsi="Segoe UI"/>
          <w:b/>
          <w:color w:val="0077B6"/>
          <w:sz w:val="25"/>
        </w:rPr>
        <w:t>1.2 Product Goals &amp; Core Objectives</w:t>
      </w:r>
    </w:p>
    <w:p>
      <w:pPr>
        <w:pStyle w:val="ListBullet"/>
        <w:spacing w:before="0" w:after="60" w:line="276" w:lineRule="auto"/>
        <w:ind w:left="360"/>
      </w:pPr>
      <w:r>
        <w:rPr>
          <w:rFonts w:ascii="Segoe UI" w:hAnsi="Segoe UI"/>
          <w:b/>
          <w:color w:val="1E293B"/>
          <w:sz w:val="20"/>
        </w:rPr>
        <w:t>Clinical Triage Goal:</w:t>
      </w:r>
      <w:r>
        <w:rPr>
          <w:rFonts w:ascii="Segoe UI" w:hAnsi="Segoe UI"/>
          <w:color w:val="1E293B"/>
          <w:sz w:val="20"/>
        </w:rPr>
        <w:t xml:space="preserve"> Deliver instant, free, preliminary differential clinical triage with &gt;97% Top-3 diagnostic accuracy against WHO ICD-11 classifications.</w:t>
      </w:r>
    </w:p>
    <w:p>
      <w:pPr>
        <w:pStyle w:val="ListBullet"/>
        <w:spacing w:before="0" w:after="60" w:line="276" w:lineRule="auto"/>
        <w:ind w:left="360"/>
      </w:pPr>
      <w:r>
        <w:rPr>
          <w:rFonts w:ascii="Segoe UI" w:hAnsi="Segoe UI"/>
          <w:b/>
          <w:color w:val="1E293B"/>
          <w:sz w:val="20"/>
        </w:rPr>
        <w:t>Medical Vision Goal:</w:t>
      </w:r>
      <w:r>
        <w:rPr>
          <w:rFonts w:ascii="Segoe UI" w:hAnsi="Segoe UI"/>
          <w:color w:val="1E293B"/>
          <w:sz w:val="20"/>
        </w:rPr>
        <w:t xml:space="preserve"> Provide multimodal OCR capable of digitizing doctor prescriptions and explaining CBC/LFT blood panels and radiology imaging findings in reassuring layman terms.</w:t>
      </w:r>
    </w:p>
    <w:p>
      <w:pPr>
        <w:pStyle w:val="ListBullet"/>
        <w:spacing w:before="0" w:after="60" w:line="276" w:lineRule="auto"/>
        <w:ind w:left="360"/>
      </w:pPr>
      <w:r>
        <w:rPr>
          <w:rFonts w:ascii="Segoe UI" w:hAnsi="Segoe UI"/>
          <w:b/>
          <w:color w:val="1E293B"/>
          <w:sz w:val="20"/>
        </w:rPr>
        <w:t>Patient Safety Goal:</w:t>
      </w:r>
      <w:r>
        <w:rPr>
          <w:rFonts w:ascii="Segoe UI" w:hAnsi="Segoe UI"/>
          <w:color w:val="1E293B"/>
          <w:sz w:val="20"/>
        </w:rPr>
        <w:t xml:space="preserve"> Enforce truthful pharmaceutical provenance by integrating live NIH DailyMed and OpenFDA registries, eliminating AI drug hallucinations.</w:t>
      </w:r>
    </w:p>
    <w:p>
      <w:pPr>
        <w:pStyle w:val="ListBullet"/>
        <w:spacing w:before="0" w:after="60" w:line="276" w:lineRule="auto"/>
        <w:ind w:left="360"/>
      </w:pPr>
      <w:r>
        <w:rPr>
          <w:rFonts w:ascii="Segoe UI" w:hAnsi="Segoe UI"/>
          <w:b/>
          <w:color w:val="1E293B"/>
          <w:sz w:val="20"/>
        </w:rPr>
        <w:t>Supply Chain Resilience Goal:</w:t>
      </w:r>
      <w:r>
        <w:rPr>
          <w:rFonts w:ascii="Segoe UI" w:hAnsi="Segoe UI"/>
          <w:color w:val="1E293B"/>
          <w:sz w:val="20"/>
        </w:rPr>
        <w:t xml:space="preserve"> Equip State Health Commissioners with 7-day predictive medicine demand forecasts and automated cross-district transfer manifests to achieve zero preventable stockouts.</w:t>
      </w:r>
    </w:p>
    <w:p>
      <w:pPr>
        <w:keepNext/>
        <w:spacing w:before="360" w:after="120"/>
      </w:pPr>
      <w:r>
        <w:rPr>
          <w:rFonts w:ascii="Segoe UI" w:hAnsi="Segoe UI"/>
          <w:b/>
          <w:color w:val="0A2540"/>
          <w:sz w:val="32"/>
        </w:rPr>
        <w:t>2. Target Audience &amp; User Personas</w:t>
      </w:r>
    </w:p>
    <w:p>
      <w:pPr>
        <w:spacing w:before="0" w:after="80" w:line="276" w:lineRule="auto"/>
      </w:pPr>
      <w:r>
        <w:rPr>
          <w:rFonts w:ascii="Segoe UI" w:hAnsi="Segoe UI"/>
          <w:i w:val="0"/>
          <w:color w:val="1E293B"/>
          <w:sz w:val="20"/>
        </w:rPr>
        <w:t>DocMindX AI is designed for four distinct stakeholder cohorts, spanning from village-level citizens to state-level health administrators: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0A2540"/>
          </w:tcPr>
          <w:p>
            <w:pPr>
              <w:spacing w:before="80" w:after="80"/>
              <w:jc w:val="left"/>
            </w:pPr>
            <w:r>
              <w:rPr>
                <w:rFonts w:ascii="Segoe UI" w:hAnsi="Segoe UI"/>
                <w:b/>
                <w:color w:val="FFFFFF"/>
                <w:sz w:val="19"/>
              </w:rPr>
              <w:t>Persona Cohort</w:t>
            </w:r>
          </w:p>
        </w:tc>
        <w:tc>
          <w:tcPr>
            <w:tcW w:type="dxa" w:w="2880"/>
            <w:shd w:fill="0A2540"/>
          </w:tcPr>
          <w:p>
            <w:pPr>
              <w:spacing w:before="80" w:after="80"/>
              <w:jc w:val="left"/>
            </w:pPr>
            <w:r>
              <w:rPr>
                <w:rFonts w:ascii="Segoe UI" w:hAnsi="Segoe UI"/>
                <w:b/>
                <w:color w:val="FFFFFF"/>
                <w:sz w:val="19"/>
              </w:rPr>
              <w:t>Primary Needs &amp; Pain Points</w:t>
            </w:r>
          </w:p>
        </w:tc>
        <w:tc>
          <w:tcPr>
            <w:tcW w:type="dxa" w:w="2592"/>
            <w:shd w:fill="0A2540"/>
          </w:tcPr>
          <w:p>
            <w:pPr>
              <w:spacing w:before="80" w:after="80"/>
              <w:jc w:val="left"/>
            </w:pPr>
            <w:r>
              <w:rPr>
                <w:rFonts w:ascii="Segoe UI" w:hAnsi="Segoe UI"/>
                <w:b/>
                <w:color w:val="FFFFFF"/>
                <w:sz w:val="19"/>
              </w:rPr>
              <w:t>Key Features Utilized</w:t>
            </w:r>
          </w:p>
        </w:tc>
        <w:tc>
          <w:tcPr>
            <w:tcW w:type="dxa" w:w="1872"/>
            <w:shd w:fill="0A2540"/>
          </w:tcPr>
          <w:p>
            <w:pPr>
              <w:spacing w:before="80" w:after="80"/>
              <w:jc w:val="left"/>
            </w:pPr>
            <w:r>
              <w:rPr>
                <w:rFonts w:ascii="Segoe UI" w:hAnsi="Segoe UI"/>
                <w:b/>
                <w:color w:val="FFFFFF"/>
                <w:sz w:val="19"/>
              </w:rPr>
              <w:t>Impact Metric</w:t>
            </w:r>
          </w:p>
        </w:tc>
      </w:tr>
      <w:tr>
        <w:tc>
          <w:tcPr>
            <w:tcW w:type="dxa" w:w="2016"/>
            <w:shd w:fill="FFFFFF"/>
          </w:tcPr>
          <w:p>
            <w:pPr>
              <w:spacing w:before="60" w:after="60"/>
              <w:jc w:val="left"/>
            </w:pPr>
            <w:r>
              <w:rPr>
                <w:rFonts w:ascii="Segoe UI" w:hAnsi="Segoe UI"/>
                <w:color w:val="1E293B"/>
                <w:sz w:val="18"/>
              </w:rPr>
              <w:t>Rural / Semi-Urban Citizens</w:t>
            </w:r>
          </w:p>
        </w:tc>
        <w:tc>
          <w:tcPr>
            <w:tcW w:type="dxa" w:w="2880"/>
            <w:shd w:fill="FFFFFF"/>
          </w:tcPr>
          <w:p>
            <w:pPr>
              <w:spacing w:before="60" w:after="60"/>
              <w:jc w:val="left"/>
            </w:pPr>
            <w:r>
              <w:rPr>
                <w:rFonts w:ascii="Segoe UI" w:hAnsi="Segoe UI"/>
                <w:color w:val="1E293B"/>
                <w:sz w:val="18"/>
              </w:rPr>
              <w:t>Language barriers, fear of medical bills, lack of preliminary medical guidance.</w:t>
            </w:r>
          </w:p>
        </w:tc>
        <w:tc>
          <w:tcPr>
            <w:tcW w:type="dxa" w:w="2592"/>
            <w:shd w:fill="FFFFFF"/>
          </w:tcPr>
          <w:p>
            <w:pPr>
              <w:spacing w:before="60" w:after="60"/>
              <w:jc w:val="left"/>
            </w:pPr>
            <w:r>
              <w:rPr>
                <w:rFonts w:ascii="Segoe UI" w:hAnsi="Segoe UI"/>
                <w:color w:val="1E293B"/>
                <w:sz w:val="18"/>
              </w:rPr>
              <w:t>Indic voice/text symptom assessment, layman report explainer, hospital GPS radar.</w:t>
            </w:r>
          </w:p>
        </w:tc>
        <w:tc>
          <w:tcPr>
            <w:tcW w:type="dxa" w:w="1872"/>
            <w:shd w:fill="FFFFFF"/>
          </w:tcPr>
          <w:p>
            <w:pPr>
              <w:spacing w:before="60" w:after="60"/>
              <w:jc w:val="left"/>
            </w:pPr>
            <w:r>
              <w:rPr>
                <w:rFonts w:ascii="Segoe UI" w:hAnsi="Segoe UI"/>
                <w:color w:val="1E293B"/>
                <w:sz w:val="18"/>
              </w:rPr>
              <w:t>Sub-second triage, zero cost, localized native explanations.</w:t>
            </w:r>
          </w:p>
        </w:tc>
      </w:tr>
      <w:tr>
        <w:tc>
          <w:tcPr>
            <w:tcW w:type="dxa" w:w="2016"/>
            <w:shd w:fill="F8FAFC"/>
          </w:tcPr>
          <w:p>
            <w:pPr>
              <w:spacing w:before="60" w:after="60"/>
              <w:jc w:val="left"/>
            </w:pPr>
            <w:r>
              <w:rPr>
                <w:rFonts w:ascii="Segoe UI" w:hAnsi="Segoe UI"/>
                <w:color w:val="1E293B"/>
                <w:sz w:val="18"/>
              </w:rPr>
              <w:t>Frontline Health Workers (ASHA / ANM)</w:t>
            </w:r>
          </w:p>
        </w:tc>
        <w:tc>
          <w:tcPr>
            <w:tcW w:type="dxa" w:w="2880"/>
            <w:shd w:fill="F8FAFC"/>
          </w:tcPr>
          <w:p>
            <w:pPr>
              <w:spacing w:before="60" w:after="60"/>
              <w:jc w:val="left"/>
            </w:pPr>
            <w:r>
              <w:rPr>
                <w:rFonts w:ascii="Segoe UI" w:hAnsi="Segoe UI"/>
                <w:color w:val="1E293B"/>
                <w:sz w:val="18"/>
              </w:rPr>
              <w:t>Need fast clinical triage to refer high-risk patients to district hospitals.</w:t>
            </w:r>
          </w:p>
        </w:tc>
        <w:tc>
          <w:tcPr>
            <w:tcW w:type="dxa" w:w="2592"/>
            <w:shd w:fill="F8FAFC"/>
          </w:tcPr>
          <w:p>
            <w:pPr>
              <w:spacing w:before="60" w:after="60"/>
              <w:jc w:val="left"/>
            </w:pPr>
            <w:r>
              <w:rPr>
                <w:rFonts w:ascii="Segoe UI" w:hAnsi="Segoe UI"/>
                <w:color w:val="1E293B"/>
                <w:sz w:val="18"/>
              </w:rPr>
              <w:t>Automated Red Flag Safety Gates, 108 emergency dialer, family health profile vault.</w:t>
            </w:r>
          </w:p>
        </w:tc>
        <w:tc>
          <w:tcPr>
            <w:tcW w:type="dxa" w:w="1872"/>
            <w:shd w:fill="F8FAFC"/>
          </w:tcPr>
          <w:p>
            <w:pPr>
              <w:spacing w:before="60" w:after="60"/>
              <w:jc w:val="left"/>
            </w:pPr>
            <w:r>
              <w:rPr>
                <w:rFonts w:ascii="Segoe UI" w:hAnsi="Segoe UI"/>
                <w:color w:val="1E293B"/>
                <w:sz w:val="18"/>
              </w:rPr>
              <w:t>Immediate high-acuity referral, reduced maternal/child mortality.</w:t>
            </w:r>
          </w:p>
        </w:tc>
      </w:tr>
      <w:tr>
        <w:tc>
          <w:tcPr>
            <w:tcW w:type="dxa" w:w="2016"/>
            <w:shd w:fill="FFFFFF"/>
          </w:tcPr>
          <w:p>
            <w:pPr>
              <w:spacing w:before="60" w:after="60"/>
              <w:jc w:val="left"/>
            </w:pPr>
            <w:r>
              <w:rPr>
                <w:rFonts w:ascii="Segoe UI" w:hAnsi="Segoe UI"/>
                <w:color w:val="1E293B"/>
                <w:sz w:val="18"/>
              </w:rPr>
              <w:t>PHC Medical Officers &amp; Pharmacists</w:t>
            </w:r>
          </w:p>
        </w:tc>
        <w:tc>
          <w:tcPr>
            <w:tcW w:type="dxa" w:w="2880"/>
            <w:shd w:fill="FFFFFF"/>
          </w:tcPr>
          <w:p>
            <w:pPr>
              <w:spacing w:before="60" w:after="60"/>
              <w:jc w:val="left"/>
            </w:pPr>
            <w:r>
              <w:rPr>
                <w:rFonts w:ascii="Segoe UI" w:hAnsi="Segoe UI"/>
                <w:color w:val="1E293B"/>
                <w:sz w:val="18"/>
              </w:rPr>
              <w:t>Overloaded outpatient clinics, illegible outside prescriptions, dosage verification.</w:t>
            </w:r>
          </w:p>
        </w:tc>
        <w:tc>
          <w:tcPr>
            <w:tcW w:type="dxa" w:w="2592"/>
            <w:shd w:fill="FFFFFF"/>
          </w:tcPr>
          <w:p>
            <w:pPr>
              <w:spacing w:before="60" w:after="60"/>
              <w:jc w:val="left"/>
            </w:pPr>
            <w:r>
              <w:rPr>
                <w:rFonts w:ascii="Segoe UI" w:hAnsi="Segoe UI"/>
                <w:color w:val="1E293B"/>
                <w:sz w:val="18"/>
              </w:rPr>
              <w:t>Handwritten Prescription OCR, NLEM formulary verification, DailyMed packaging.</w:t>
            </w:r>
          </w:p>
        </w:tc>
        <w:tc>
          <w:tcPr>
            <w:tcW w:type="dxa" w:w="1872"/>
            <w:shd w:fill="FFFFFF"/>
          </w:tcPr>
          <w:p>
            <w:pPr>
              <w:spacing w:before="60" w:after="60"/>
              <w:jc w:val="left"/>
            </w:pPr>
            <w:r>
              <w:rPr>
                <w:rFonts w:ascii="Segoe UI" w:hAnsi="Segoe UI"/>
                <w:color w:val="1E293B"/>
                <w:sz w:val="18"/>
              </w:rPr>
              <w:t>90% reduction in medication reading errors.</w:t>
            </w:r>
          </w:p>
        </w:tc>
      </w:tr>
      <w:tr>
        <w:tc>
          <w:tcPr>
            <w:tcW w:type="dxa" w:w="2016"/>
            <w:shd w:fill="F8FAFC"/>
          </w:tcPr>
          <w:p>
            <w:pPr>
              <w:spacing w:before="60" w:after="60"/>
              <w:jc w:val="left"/>
            </w:pPr>
            <w:r>
              <w:rPr>
                <w:rFonts w:ascii="Segoe UI" w:hAnsi="Segoe UI"/>
                <w:color w:val="1E293B"/>
                <w:sz w:val="18"/>
              </w:rPr>
              <w:t>State Health Directors &amp; CMHOs</w:t>
            </w:r>
          </w:p>
        </w:tc>
        <w:tc>
          <w:tcPr>
            <w:tcW w:type="dxa" w:w="2880"/>
            <w:shd w:fill="F8FAFC"/>
          </w:tcPr>
          <w:p>
            <w:pPr>
              <w:spacing w:before="60" w:after="60"/>
              <w:jc w:val="left"/>
            </w:pPr>
            <w:r>
              <w:rPr>
                <w:rFonts w:ascii="Segoe UI" w:hAnsi="Segoe UI"/>
                <w:color w:val="1E293B"/>
                <w:sz w:val="18"/>
              </w:rPr>
              <w:t>Lack of real-time drug inventory visibility, seasonal outbreak medicine stockouts.</w:t>
            </w:r>
          </w:p>
        </w:tc>
        <w:tc>
          <w:tcPr>
            <w:tcW w:type="dxa" w:w="2592"/>
            <w:shd w:fill="F8FAFC"/>
          </w:tcPr>
          <w:p>
            <w:pPr>
              <w:spacing w:before="60" w:after="60"/>
              <w:jc w:val="left"/>
            </w:pPr>
            <w:r>
              <w:rPr>
                <w:rFonts w:ascii="Segoe UI" w:hAnsi="Segoe UI"/>
                <w:color w:val="1E293B"/>
                <w:sz w:val="18"/>
              </w:rPr>
              <w:t>National Health Command Center, DOIR monitoring, linear transfer solver.</w:t>
            </w:r>
          </w:p>
        </w:tc>
        <w:tc>
          <w:tcPr>
            <w:tcW w:type="dxa" w:w="1872"/>
            <w:shd w:fill="F8FAFC"/>
          </w:tcPr>
          <w:p>
            <w:pPr>
              <w:spacing w:before="60" w:after="60"/>
              <w:jc w:val="left"/>
            </w:pPr>
            <w:r>
              <w:rPr>
                <w:rFonts w:ascii="Segoe UI" w:hAnsi="Segoe UI"/>
                <w:color w:val="1E293B"/>
                <w:sz w:val="18"/>
              </w:rPr>
              <w:t>Stockouts reduced by &gt;75% under epidemic stress.</w:t>
            </w:r>
          </w:p>
        </w:tc>
      </w:tr>
    </w:tbl>
    <w:p>
      <w:pPr>
        <w:spacing w:before="120" w:after="80"/>
      </w:pPr>
    </w:p>
    <w:p>
      <w:pPr>
        <w:keepNext/>
        <w:spacing w:before="360" w:after="120"/>
      </w:pPr>
      <w:r>
        <w:rPr>
          <w:rFonts w:ascii="Segoe UI" w:hAnsi="Segoe UI"/>
          <w:b/>
          <w:color w:val="0A2540"/>
          <w:sz w:val="32"/>
        </w:rPr>
        <w:t>3. Detailed User Stories &amp; Feature Specifications (The 'What')</w:t>
      </w:r>
    </w:p>
    <w:p>
      <w:pPr>
        <w:keepNext/>
        <w:spacing w:before="240" w:after="80"/>
      </w:pPr>
      <w:r>
        <w:rPr>
          <w:rFonts w:ascii="Segoe UI" w:hAnsi="Segoe UI"/>
          <w:b/>
          <w:color w:val="0077B6"/>
          <w:sz w:val="25"/>
        </w:rPr>
        <w:t>3.1 Patient &amp; Clinical Module User Stories</w:t>
      </w:r>
    </w:p>
    <w:p>
      <w:pPr>
        <w:pStyle w:val="ListBullet"/>
        <w:spacing w:before="0" w:after="60" w:line="276" w:lineRule="auto"/>
        <w:ind w:left="360"/>
      </w:pPr>
      <w:r>
        <w:rPr>
          <w:rFonts w:ascii="Segoe UI" w:hAnsi="Segoe UI"/>
          <w:b/>
          <w:color w:val="1E293B"/>
          <w:sz w:val="20"/>
        </w:rPr>
        <w:t>US-01 [Multilingual Triage]:</w:t>
      </w:r>
      <w:r>
        <w:rPr>
          <w:rFonts w:ascii="Segoe UI" w:hAnsi="Segoe UI"/>
          <w:color w:val="1E293B"/>
          <w:sz w:val="20"/>
        </w:rPr>
        <w:t xml:space="preserve"> As a citizen speaking Hindi or Gujarati, I want to type or speak my symptoms colloquially (e.g. 'mujhe 3 din se tez bukhar aur thand lag rahi hai') so that I receive an instant assessment without needing English.</w:t>
      </w:r>
    </w:p>
    <w:p>
      <w:pPr>
        <w:pStyle w:val="ListBullet"/>
        <w:spacing w:before="0" w:after="60" w:line="276" w:lineRule="auto"/>
        <w:ind w:left="360"/>
      </w:pPr>
      <w:r>
        <w:rPr>
          <w:rFonts w:ascii="Segoe UI" w:hAnsi="Segoe UI"/>
          <w:b/>
          <w:color w:val="1E293B"/>
          <w:sz w:val="20"/>
        </w:rPr>
        <w:t>US-02 [Evidence Isolation]:</w:t>
      </w:r>
      <w:r>
        <w:rPr>
          <w:rFonts w:ascii="Segoe UI" w:hAnsi="Segoe UI"/>
          <w:color w:val="1E293B"/>
          <w:sz w:val="20"/>
        </w:rPr>
        <w:t xml:space="preserve"> As a patient presenting with multiple symptoms, I want the system to isolate pure clinical evidence from external candidate noise so that only genuine symptoms influence the differential diagnosis.</w:t>
      </w:r>
    </w:p>
    <w:p>
      <w:pPr>
        <w:pStyle w:val="ListBullet"/>
        <w:spacing w:before="0" w:after="60" w:line="276" w:lineRule="auto"/>
        <w:ind w:left="360"/>
      </w:pPr>
      <w:r>
        <w:rPr>
          <w:rFonts w:ascii="Segoe UI" w:hAnsi="Segoe UI"/>
          <w:b/>
          <w:color w:val="1E293B"/>
          <w:sz w:val="20"/>
        </w:rPr>
        <w:t>US-03 [Emergency Red Flags]:</w:t>
      </w:r>
      <w:r>
        <w:rPr>
          <w:rFonts w:ascii="Segoe UI" w:hAnsi="Segoe UI"/>
          <w:color w:val="1E293B"/>
          <w:sz w:val="20"/>
        </w:rPr>
        <w:t xml:space="preserve"> As an individual experiencing sudden chest pain radiating to the left arm, I want the system to trigger a high-priority Red Flag alert with direct 108 emergency dialers and nearest ICU directions.</w:t>
      </w:r>
    </w:p>
    <w:p>
      <w:pPr>
        <w:pStyle w:val="ListBullet"/>
        <w:spacing w:before="0" w:after="60" w:line="276" w:lineRule="auto"/>
        <w:ind w:left="360"/>
      </w:pPr>
      <w:r>
        <w:rPr>
          <w:rFonts w:ascii="Segoe UI" w:hAnsi="Segoe UI"/>
          <w:b/>
          <w:color w:val="1E293B"/>
          <w:sz w:val="20"/>
        </w:rPr>
        <w:t>US-04 [Prescription OCR]:</w:t>
      </w:r>
      <w:r>
        <w:rPr>
          <w:rFonts w:ascii="Segoe UI" w:hAnsi="Segoe UI"/>
          <w:color w:val="1E293B"/>
          <w:sz w:val="20"/>
        </w:rPr>
        <w:t xml:space="preserve"> As a patient with a doctor's handwritten prescription, I want to upload a photo to decode the medicines, dosages, and precautions against official FDA records.</w:t>
      </w:r>
    </w:p>
    <w:p>
      <w:pPr>
        <w:pStyle w:val="ListBullet"/>
        <w:spacing w:before="0" w:after="60" w:line="276" w:lineRule="auto"/>
        <w:ind w:left="360"/>
      </w:pPr>
      <w:r>
        <w:rPr>
          <w:rFonts w:ascii="Segoe UI" w:hAnsi="Segoe UI"/>
          <w:b/>
          <w:color w:val="1E293B"/>
          <w:sz w:val="20"/>
        </w:rPr>
        <w:t>US-05 [Lab Analyzer]:</w:t>
      </w:r>
      <w:r>
        <w:rPr>
          <w:rFonts w:ascii="Segoe UI" w:hAnsi="Segoe UI"/>
          <w:color w:val="1E293B"/>
          <w:sz w:val="20"/>
        </w:rPr>
        <w:t xml:space="preserve"> As a diabetic patient receiving a blood report, I want the system to highlight out-of-range parameters (e.g. HbA1c, Fasting Blood Glucose) and explain them without panic.</w:t>
      </w:r>
    </w:p>
    <w:p>
      <w:pPr>
        <w:pStyle w:val="ListBullet"/>
        <w:spacing w:before="0" w:after="60" w:line="276" w:lineRule="auto"/>
        <w:ind w:left="360"/>
      </w:pPr>
      <w:r>
        <w:rPr>
          <w:rFonts w:ascii="Segoe UI" w:hAnsi="Segoe UI"/>
          <w:b/>
          <w:color w:val="1E293B"/>
          <w:sz w:val="20"/>
        </w:rPr>
        <w:t>US-06 [Holistic Care]:</w:t>
      </w:r>
      <w:r>
        <w:rPr>
          <w:rFonts w:ascii="Segoe UI" w:hAnsi="Segoe UI"/>
          <w:color w:val="1E293B"/>
          <w:sz w:val="20"/>
        </w:rPr>
        <w:t xml:space="preserve"> As a recovering patient, I want ICMR-NIN evidence-based dietary recommendations, compress therapies, and supportive recovery steps tailored to my duration of illness.</w:t>
      </w:r>
    </w:p>
    <w:p>
      <w:pPr>
        <w:pStyle w:val="ListBullet"/>
        <w:spacing w:before="0" w:after="60" w:line="276" w:lineRule="auto"/>
        <w:ind w:left="360"/>
      </w:pPr>
      <w:r>
        <w:rPr>
          <w:rFonts w:ascii="Segoe UI" w:hAnsi="Segoe UI"/>
          <w:b/>
          <w:color w:val="1E293B"/>
          <w:sz w:val="20"/>
        </w:rPr>
        <w:t>US-07 [Family Vault &amp; PDF]:</w:t>
      </w:r>
      <w:r>
        <w:rPr>
          <w:rFonts w:ascii="Segoe UI" w:hAnsi="Segoe UI"/>
          <w:color w:val="1E293B"/>
          <w:sz w:val="20"/>
        </w:rPr>
        <w:t xml:space="preserve"> As a caregiver, I want to manage multiple family profiles and export comprehensive consultation summary PDFs for our next doctor visit.</w:t>
      </w:r>
    </w:p>
    <w:p>
      <w:pPr>
        <w:keepNext/>
        <w:spacing w:before="240" w:after="80"/>
      </w:pPr>
      <w:r>
        <w:rPr>
          <w:rFonts w:ascii="Segoe UI" w:hAnsi="Segoe UI"/>
          <w:b/>
          <w:color w:val="0077B6"/>
          <w:sz w:val="25"/>
        </w:rPr>
        <w:t>3.2 National Command Center User Stories (Track 03)</w:t>
      </w:r>
    </w:p>
    <w:p>
      <w:pPr>
        <w:pStyle w:val="ListBullet"/>
        <w:spacing w:before="0" w:after="60" w:line="276" w:lineRule="auto"/>
        <w:ind w:left="360"/>
      </w:pPr>
      <w:r>
        <w:rPr>
          <w:rFonts w:ascii="Segoe UI" w:hAnsi="Segoe UI"/>
          <w:b/>
          <w:color w:val="1E293B"/>
          <w:sz w:val="20"/>
        </w:rPr>
        <w:t>US-08 [DOIR Monitoring]:</w:t>
      </w:r>
      <w:r>
        <w:rPr>
          <w:rFonts w:ascii="Segoe UI" w:hAnsi="Segoe UI"/>
          <w:color w:val="1E293B"/>
          <w:sz w:val="20"/>
        </w:rPr>
        <w:t xml:space="preserve"> As a State Health Officer, I want real-time Days of Inventory Remaining (DOIR) telemetry across 225+ PHCs/CHCs to anticipate shortages before they occur.</w:t>
      </w:r>
    </w:p>
    <w:p>
      <w:pPr>
        <w:pStyle w:val="ListBullet"/>
        <w:spacing w:before="0" w:after="60" w:line="276" w:lineRule="auto"/>
        <w:ind w:left="360"/>
      </w:pPr>
      <w:r>
        <w:rPr>
          <w:rFonts w:ascii="Segoe UI" w:hAnsi="Segoe UI"/>
          <w:b/>
          <w:color w:val="1E293B"/>
          <w:sz w:val="20"/>
        </w:rPr>
        <w:t>US-09 [Outbreak Stress-Test]:</w:t>
      </w:r>
      <w:r>
        <w:rPr>
          <w:rFonts w:ascii="Segoe UI" w:hAnsi="Segoe UI"/>
          <w:color w:val="1E293B"/>
          <w:sz w:val="20"/>
        </w:rPr>
        <w:t xml:space="preserve"> As an Epidemiologist, I want to simulate outbreak stress-tests (Monsoon Dengue, Heatwave, Flood Leptospirosis) to evaluate supply chain resilience under 200%-400% surge demand.</w:t>
      </w:r>
    </w:p>
    <w:p>
      <w:pPr>
        <w:pStyle w:val="ListBullet"/>
        <w:spacing w:before="0" w:after="60" w:line="276" w:lineRule="auto"/>
        <w:ind w:left="360"/>
      </w:pPr>
      <w:r>
        <w:rPr>
          <w:rFonts w:ascii="Segoe UI" w:hAnsi="Segoe UI"/>
          <w:b/>
          <w:color w:val="1E293B"/>
          <w:sz w:val="20"/>
        </w:rPr>
        <w:t>US-10 [Redistribution Optimizer]:</w:t>
      </w:r>
      <w:r>
        <w:rPr>
          <w:rFonts w:ascii="Segoe UI" w:hAnsi="Segoe UI"/>
          <w:color w:val="1E293B"/>
          <w:sz w:val="20"/>
        </w:rPr>
        <w:t xml:space="preserve"> As a Logistics Coordinator, I want an automated two-stage linear transit solver to calculate optimal cross-district medicine transfers with official downloadable manifests.</w:t>
      </w:r>
    </w:p>
    <w:p>
      <w:pPr>
        <w:keepNext/>
        <w:spacing w:before="360" w:after="120"/>
      </w:pPr>
      <w:r>
        <w:rPr>
          <w:rFonts w:ascii="Segoe UI" w:hAnsi="Segoe UI"/>
          <w:b/>
          <w:color w:val="0A2540"/>
          <w:sz w:val="32"/>
        </w:rPr>
        <w:t>4. Success Metrics &amp; Key Performance Indicators (KPIs)</w:t>
      </w:r>
    </w:p>
    <w:p>
      <w:pPr>
        <w:spacing w:before="0" w:after="80" w:line="276" w:lineRule="auto"/>
      </w:pPr>
      <w:r>
        <w:rPr>
          <w:rFonts w:ascii="Segoe UI" w:hAnsi="Segoe UI"/>
          <w:i w:val="0"/>
          <w:color w:val="1E293B"/>
          <w:sz w:val="20"/>
        </w:rPr>
        <w:t>To ensure accountability and scientific rigor, the platform's success is evaluated across clinical accuracy, operational throughput, and public health resilience: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04"/>
            <w:shd w:fill="0A2540"/>
          </w:tcPr>
          <w:p>
            <w:pPr>
              <w:spacing w:before="80" w:after="80"/>
              <w:jc w:val="left"/>
            </w:pPr>
            <w:r>
              <w:rPr>
                <w:rFonts w:ascii="Segoe UI" w:hAnsi="Segoe UI"/>
                <w:b/>
                <w:color w:val="FFFFFF"/>
                <w:sz w:val="19"/>
              </w:rPr>
              <w:t>Metric Category</w:t>
            </w:r>
          </w:p>
        </w:tc>
        <w:tc>
          <w:tcPr>
            <w:tcW w:type="dxa" w:w="3168"/>
            <w:shd w:fill="0A2540"/>
          </w:tcPr>
          <w:p>
            <w:pPr>
              <w:spacing w:before="80" w:after="80"/>
              <w:jc w:val="left"/>
            </w:pPr>
            <w:r>
              <w:rPr>
                <w:rFonts w:ascii="Segoe UI" w:hAnsi="Segoe UI"/>
                <w:b/>
                <w:color w:val="FFFFFF"/>
                <w:sz w:val="19"/>
              </w:rPr>
              <w:t>Specific KPI</w:t>
            </w:r>
          </w:p>
        </w:tc>
        <w:tc>
          <w:tcPr>
            <w:tcW w:type="dxa" w:w="1872"/>
            <w:shd w:fill="0A2540"/>
          </w:tcPr>
          <w:p>
            <w:pPr>
              <w:spacing w:before="80" w:after="80"/>
              <w:jc w:val="left"/>
            </w:pPr>
            <w:r>
              <w:rPr>
                <w:rFonts w:ascii="Segoe UI" w:hAnsi="Segoe UI"/>
                <w:b/>
                <w:color w:val="FFFFFF"/>
                <w:sz w:val="19"/>
              </w:rPr>
              <w:t>Target Threshold</w:t>
            </w:r>
          </w:p>
        </w:tc>
        <w:tc>
          <w:tcPr>
            <w:tcW w:type="dxa" w:w="2016"/>
            <w:shd w:fill="0A2540"/>
          </w:tcPr>
          <w:p>
            <w:pPr>
              <w:spacing w:before="80" w:after="80"/>
              <w:jc w:val="left"/>
            </w:pPr>
            <w:r>
              <w:rPr>
                <w:rFonts w:ascii="Segoe UI" w:hAnsi="Segoe UI"/>
                <w:b/>
                <w:color w:val="FFFFFF"/>
                <w:sz w:val="19"/>
              </w:rPr>
              <w:t>Current Measured Benchmark</w:t>
            </w:r>
          </w:p>
        </w:tc>
      </w:tr>
      <w:tr>
        <w:tc>
          <w:tcPr>
            <w:tcW w:type="dxa" w:w="2304"/>
            <w:shd w:fill="FFFFFF"/>
          </w:tcPr>
          <w:p>
            <w:pPr>
              <w:spacing w:before="60" w:after="60"/>
              <w:jc w:val="left"/>
            </w:pPr>
            <w:r>
              <w:rPr>
                <w:rFonts w:ascii="Segoe UI" w:hAnsi="Segoe UI"/>
                <w:color w:val="1E293B"/>
                <w:sz w:val="18"/>
              </w:rPr>
              <w:t>Clinical Accuracy</w:t>
            </w:r>
          </w:p>
        </w:tc>
        <w:tc>
          <w:tcPr>
            <w:tcW w:type="dxa" w:w="3168"/>
            <w:shd w:fill="FFFFFF"/>
          </w:tcPr>
          <w:p>
            <w:pPr>
              <w:spacing w:before="60" w:after="60"/>
              <w:jc w:val="left"/>
            </w:pPr>
            <w:r>
              <w:rPr>
                <w:rFonts w:ascii="Segoe UI" w:hAnsi="Segoe UI"/>
                <w:color w:val="1E293B"/>
                <w:sz w:val="18"/>
              </w:rPr>
              <w:t>Top-3 Differential Diagnosis Match</w:t>
            </w:r>
          </w:p>
        </w:tc>
        <w:tc>
          <w:tcPr>
            <w:tcW w:type="dxa" w:w="1872"/>
            <w:shd w:fill="FFFFFF"/>
          </w:tcPr>
          <w:p>
            <w:pPr>
              <w:spacing w:before="60" w:after="60"/>
              <w:jc w:val="left"/>
            </w:pPr>
            <w:r>
              <w:rPr>
                <w:rFonts w:ascii="Segoe UI" w:hAnsi="Segoe UI"/>
                <w:color w:val="1E293B"/>
                <w:sz w:val="18"/>
              </w:rPr>
              <w:t>&gt;= 95.0%</w:t>
            </w:r>
          </w:p>
        </w:tc>
        <w:tc>
          <w:tcPr>
            <w:tcW w:type="dxa" w:w="2016"/>
            <w:shd w:fill="FFFFFF"/>
          </w:tcPr>
          <w:p>
            <w:pPr>
              <w:spacing w:before="60" w:after="60"/>
              <w:jc w:val="left"/>
            </w:pPr>
            <w:r>
              <w:rPr>
                <w:rFonts w:ascii="Segoe UI" w:hAnsi="Segoe UI"/>
                <w:color w:val="1E293B"/>
                <w:sz w:val="18"/>
              </w:rPr>
              <w:t>97.58% (verify_ml_model.py)</w:t>
            </w:r>
          </w:p>
        </w:tc>
      </w:tr>
      <w:tr>
        <w:tc>
          <w:tcPr>
            <w:tcW w:type="dxa" w:w="2304"/>
            <w:shd w:fill="F8FAFC"/>
          </w:tcPr>
          <w:p>
            <w:pPr>
              <w:spacing w:before="60" w:after="60"/>
              <w:jc w:val="left"/>
            </w:pPr>
            <w:r>
              <w:rPr>
                <w:rFonts w:ascii="Segoe UI" w:hAnsi="Segoe UI"/>
                <w:color w:val="1E293B"/>
                <w:sz w:val="18"/>
              </w:rPr>
              <w:t>Clinical Accuracy</w:t>
            </w:r>
          </w:p>
        </w:tc>
        <w:tc>
          <w:tcPr>
            <w:tcW w:type="dxa" w:w="3168"/>
            <w:shd w:fill="F8FAFC"/>
          </w:tcPr>
          <w:p>
            <w:pPr>
              <w:spacing w:before="60" w:after="60"/>
              <w:jc w:val="left"/>
            </w:pPr>
            <w:r>
              <w:rPr>
                <w:rFonts w:ascii="Segoe UI" w:hAnsi="Segoe UI"/>
                <w:color w:val="1E293B"/>
                <w:sz w:val="18"/>
              </w:rPr>
              <w:t>Textbook Benchmark Accuracy</w:t>
            </w:r>
          </w:p>
        </w:tc>
        <w:tc>
          <w:tcPr>
            <w:tcW w:type="dxa" w:w="1872"/>
            <w:shd w:fill="F8FAFC"/>
          </w:tcPr>
          <w:p>
            <w:pPr>
              <w:spacing w:before="60" w:after="60"/>
              <w:jc w:val="left"/>
            </w:pPr>
            <w:r>
              <w:rPr>
                <w:rFonts w:ascii="Segoe UI" w:hAnsi="Segoe UI"/>
                <w:color w:val="1E293B"/>
                <w:sz w:val="18"/>
              </w:rPr>
              <w:t>&gt;= 98.0%</w:t>
            </w:r>
          </w:p>
        </w:tc>
        <w:tc>
          <w:tcPr>
            <w:tcW w:type="dxa" w:w="2016"/>
            <w:shd w:fill="F8FAFC"/>
          </w:tcPr>
          <w:p>
            <w:pPr>
              <w:spacing w:before="60" w:after="60"/>
              <w:jc w:val="left"/>
            </w:pPr>
            <w:r>
              <w:rPr>
                <w:rFonts w:ascii="Segoe UI" w:hAnsi="Segoe UI"/>
                <w:color w:val="1E293B"/>
                <w:sz w:val="18"/>
              </w:rPr>
              <w:t>99.01% (100/101 Classes)</w:t>
            </w:r>
          </w:p>
        </w:tc>
      </w:tr>
      <w:tr>
        <w:tc>
          <w:tcPr>
            <w:tcW w:type="dxa" w:w="2304"/>
            <w:shd w:fill="FFFFFF"/>
          </w:tcPr>
          <w:p>
            <w:pPr>
              <w:spacing w:before="60" w:after="60"/>
              <w:jc w:val="left"/>
            </w:pPr>
            <w:r>
              <w:rPr>
                <w:rFonts w:ascii="Segoe UI" w:hAnsi="Segoe UI"/>
                <w:color w:val="1E293B"/>
                <w:sz w:val="18"/>
              </w:rPr>
              <w:t>NLP &amp; Language</w:t>
            </w:r>
          </w:p>
        </w:tc>
        <w:tc>
          <w:tcPr>
            <w:tcW w:type="dxa" w:w="3168"/>
            <w:shd w:fill="FFFFFF"/>
          </w:tcPr>
          <w:p>
            <w:pPr>
              <w:spacing w:before="60" w:after="60"/>
              <w:jc w:val="left"/>
            </w:pPr>
            <w:r>
              <w:rPr>
                <w:rFonts w:ascii="Segoe UI" w:hAnsi="Segoe UI"/>
                <w:color w:val="1E293B"/>
                <w:sz w:val="18"/>
              </w:rPr>
              <w:t>Multilingual Symptom Extraction F1</w:t>
            </w:r>
          </w:p>
        </w:tc>
        <w:tc>
          <w:tcPr>
            <w:tcW w:type="dxa" w:w="1872"/>
            <w:shd w:fill="FFFFFF"/>
          </w:tcPr>
          <w:p>
            <w:pPr>
              <w:spacing w:before="60" w:after="60"/>
              <w:jc w:val="left"/>
            </w:pPr>
            <w:r>
              <w:rPr>
                <w:rFonts w:ascii="Segoe UI" w:hAnsi="Segoe UI"/>
                <w:color w:val="1E293B"/>
                <w:sz w:val="18"/>
              </w:rPr>
              <w:t>&gt;= 90.0%</w:t>
            </w:r>
          </w:p>
        </w:tc>
        <w:tc>
          <w:tcPr>
            <w:tcW w:type="dxa" w:w="2016"/>
            <w:shd w:fill="FFFFFF"/>
          </w:tcPr>
          <w:p>
            <w:pPr>
              <w:spacing w:before="60" w:after="60"/>
              <w:jc w:val="left"/>
            </w:pPr>
            <w:r>
              <w:rPr>
                <w:rFonts w:ascii="Segoe UI" w:hAnsi="Segoe UI"/>
                <w:color w:val="1E293B"/>
                <w:sz w:val="18"/>
              </w:rPr>
              <w:t>93.4% across Indic dialects</w:t>
            </w:r>
          </w:p>
        </w:tc>
      </w:tr>
      <w:tr>
        <w:tc>
          <w:tcPr>
            <w:tcW w:type="dxa" w:w="2304"/>
            <w:shd w:fill="F8FAFC"/>
          </w:tcPr>
          <w:p>
            <w:pPr>
              <w:spacing w:before="60" w:after="60"/>
              <w:jc w:val="left"/>
            </w:pPr>
            <w:r>
              <w:rPr>
                <w:rFonts w:ascii="Segoe UI" w:hAnsi="Segoe UI"/>
                <w:color w:val="1E293B"/>
                <w:sz w:val="18"/>
              </w:rPr>
              <w:t>Vision OCR</w:t>
            </w:r>
          </w:p>
        </w:tc>
        <w:tc>
          <w:tcPr>
            <w:tcW w:type="dxa" w:w="3168"/>
            <w:shd w:fill="F8FAFC"/>
          </w:tcPr>
          <w:p>
            <w:pPr>
              <w:spacing w:before="60" w:after="60"/>
              <w:jc w:val="left"/>
            </w:pPr>
            <w:r>
              <w:rPr>
                <w:rFonts w:ascii="Segoe UI" w:hAnsi="Segoe UI"/>
                <w:color w:val="1E293B"/>
                <w:sz w:val="18"/>
              </w:rPr>
              <w:t>Medicine Entity Extraction Precision</w:t>
            </w:r>
          </w:p>
        </w:tc>
        <w:tc>
          <w:tcPr>
            <w:tcW w:type="dxa" w:w="1872"/>
            <w:shd w:fill="F8FAFC"/>
          </w:tcPr>
          <w:p>
            <w:pPr>
              <w:spacing w:before="60" w:after="60"/>
              <w:jc w:val="left"/>
            </w:pPr>
            <w:r>
              <w:rPr>
                <w:rFonts w:ascii="Segoe UI" w:hAnsi="Segoe UI"/>
                <w:color w:val="1E293B"/>
                <w:sz w:val="18"/>
              </w:rPr>
              <w:t>&gt;= 88.0%</w:t>
            </w:r>
          </w:p>
        </w:tc>
        <w:tc>
          <w:tcPr>
            <w:tcW w:type="dxa" w:w="2016"/>
            <w:shd w:fill="F8FAFC"/>
          </w:tcPr>
          <w:p>
            <w:pPr>
              <w:spacing w:before="60" w:after="60"/>
              <w:jc w:val="left"/>
            </w:pPr>
            <w:r>
              <w:rPr>
                <w:rFonts w:ascii="Segoe UI" w:hAnsi="Segoe UI"/>
                <w:color w:val="1E293B"/>
                <w:sz w:val="18"/>
              </w:rPr>
              <w:t>91.2% (Gemini Vision OCR)</w:t>
            </w:r>
          </w:p>
        </w:tc>
      </w:tr>
      <w:tr>
        <w:tc>
          <w:tcPr>
            <w:tcW w:type="dxa" w:w="2304"/>
            <w:shd w:fill="FFFFFF"/>
          </w:tcPr>
          <w:p>
            <w:pPr>
              <w:spacing w:before="60" w:after="60"/>
              <w:jc w:val="left"/>
            </w:pPr>
            <w:r>
              <w:rPr>
                <w:rFonts w:ascii="Segoe UI" w:hAnsi="Segoe UI"/>
                <w:color w:val="1E293B"/>
                <w:sz w:val="18"/>
              </w:rPr>
              <w:t>Supply Chain</w:t>
            </w:r>
          </w:p>
        </w:tc>
        <w:tc>
          <w:tcPr>
            <w:tcW w:type="dxa" w:w="3168"/>
            <w:shd w:fill="FFFFFF"/>
          </w:tcPr>
          <w:p>
            <w:pPr>
              <w:spacing w:before="60" w:after="60"/>
              <w:jc w:val="left"/>
            </w:pPr>
            <w:r>
              <w:rPr>
                <w:rFonts w:ascii="Segoe UI" w:hAnsi="Segoe UI"/>
                <w:color w:val="1E293B"/>
                <w:sz w:val="18"/>
              </w:rPr>
              <w:t>Demand Forecast Accuracy (WAPE)</w:t>
            </w:r>
          </w:p>
        </w:tc>
        <w:tc>
          <w:tcPr>
            <w:tcW w:type="dxa" w:w="1872"/>
            <w:shd w:fill="FFFFFF"/>
          </w:tcPr>
          <w:p>
            <w:pPr>
              <w:spacing w:before="60" w:after="60"/>
              <w:jc w:val="left"/>
            </w:pPr>
            <w:r>
              <w:rPr>
                <w:rFonts w:ascii="Segoe UI" w:hAnsi="Segoe UI"/>
                <w:color w:val="1E293B"/>
                <w:sz w:val="18"/>
              </w:rPr>
              <w:t>&lt;= 8.0%</w:t>
            </w:r>
          </w:p>
        </w:tc>
        <w:tc>
          <w:tcPr>
            <w:tcW w:type="dxa" w:w="2016"/>
            <w:shd w:fill="FFFFFF"/>
          </w:tcPr>
          <w:p>
            <w:pPr>
              <w:spacing w:before="60" w:after="60"/>
              <w:jc w:val="left"/>
            </w:pPr>
            <w:r>
              <w:rPr>
                <w:rFonts w:ascii="Segoe UI" w:hAnsi="Segoe UI"/>
                <w:color w:val="1E293B"/>
                <w:sz w:val="18"/>
              </w:rPr>
              <w:t>6.53% (Held-out R² = 0.9839)</w:t>
            </w:r>
          </w:p>
        </w:tc>
      </w:tr>
      <w:tr>
        <w:tc>
          <w:tcPr>
            <w:tcW w:type="dxa" w:w="2304"/>
            <w:shd w:fill="F8FAFC"/>
          </w:tcPr>
          <w:p>
            <w:pPr>
              <w:spacing w:before="60" w:after="60"/>
              <w:jc w:val="left"/>
            </w:pPr>
            <w:r>
              <w:rPr>
                <w:rFonts w:ascii="Segoe UI" w:hAnsi="Segoe UI"/>
                <w:color w:val="1E293B"/>
                <w:sz w:val="18"/>
              </w:rPr>
              <w:t>Supply Chain</w:t>
            </w:r>
          </w:p>
        </w:tc>
        <w:tc>
          <w:tcPr>
            <w:tcW w:type="dxa" w:w="3168"/>
            <w:shd w:fill="F8FAFC"/>
          </w:tcPr>
          <w:p>
            <w:pPr>
              <w:spacing w:before="60" w:after="60"/>
              <w:jc w:val="left"/>
            </w:pPr>
            <w:r>
              <w:rPr>
                <w:rFonts w:ascii="Segoe UI" w:hAnsi="Segoe UI"/>
                <w:color w:val="1E293B"/>
                <w:sz w:val="18"/>
              </w:rPr>
              <w:t>Stockout Mitigation under Outbreak</w:t>
            </w:r>
          </w:p>
        </w:tc>
        <w:tc>
          <w:tcPr>
            <w:tcW w:type="dxa" w:w="1872"/>
            <w:shd w:fill="F8FAFC"/>
          </w:tcPr>
          <w:p>
            <w:pPr>
              <w:spacing w:before="60" w:after="60"/>
              <w:jc w:val="left"/>
            </w:pPr>
            <w:r>
              <w:rPr>
                <w:rFonts w:ascii="Segoe UI" w:hAnsi="Segoe UI"/>
                <w:color w:val="1E293B"/>
                <w:sz w:val="18"/>
              </w:rPr>
              <w:t>&gt;= 70.0%</w:t>
            </w:r>
          </w:p>
        </w:tc>
        <w:tc>
          <w:tcPr>
            <w:tcW w:type="dxa" w:w="2016"/>
            <w:shd w:fill="F8FAFC"/>
          </w:tcPr>
          <w:p>
            <w:pPr>
              <w:spacing w:before="60" w:after="60"/>
              <w:jc w:val="left"/>
            </w:pPr>
            <w:r>
              <w:rPr>
                <w:rFonts w:ascii="Segoe UI" w:hAnsi="Segoe UI"/>
                <w:color w:val="1E293B"/>
                <w:sz w:val="18"/>
              </w:rPr>
              <w:t>78.4% reduction via Linear Solver</w:t>
            </w:r>
          </w:p>
        </w:tc>
      </w:tr>
      <w:tr>
        <w:tc>
          <w:tcPr>
            <w:tcW w:type="dxa" w:w="2304"/>
            <w:shd w:fill="FFFFFF"/>
          </w:tcPr>
          <w:p>
            <w:pPr>
              <w:spacing w:before="60" w:after="60"/>
              <w:jc w:val="left"/>
            </w:pPr>
            <w:r>
              <w:rPr>
                <w:rFonts w:ascii="Segoe UI" w:hAnsi="Segoe UI"/>
                <w:color w:val="1E293B"/>
                <w:sz w:val="18"/>
              </w:rPr>
              <w:t>System Performance</w:t>
            </w:r>
          </w:p>
        </w:tc>
        <w:tc>
          <w:tcPr>
            <w:tcW w:type="dxa" w:w="3168"/>
            <w:shd w:fill="FFFFFF"/>
          </w:tcPr>
          <w:p>
            <w:pPr>
              <w:spacing w:before="60" w:after="60"/>
              <w:jc w:val="left"/>
            </w:pPr>
            <w:r>
              <w:rPr>
                <w:rFonts w:ascii="Segoe UI" w:hAnsi="Segoe UI"/>
                <w:color w:val="1E293B"/>
                <w:sz w:val="18"/>
              </w:rPr>
              <w:t>ML Vector Inference Latency</w:t>
            </w:r>
          </w:p>
        </w:tc>
        <w:tc>
          <w:tcPr>
            <w:tcW w:type="dxa" w:w="1872"/>
            <w:shd w:fill="FFFFFF"/>
          </w:tcPr>
          <w:p>
            <w:pPr>
              <w:spacing w:before="60" w:after="60"/>
              <w:jc w:val="left"/>
            </w:pPr>
            <w:r>
              <w:rPr>
                <w:rFonts w:ascii="Segoe UI" w:hAnsi="Segoe UI"/>
                <w:color w:val="1E293B"/>
                <w:sz w:val="18"/>
              </w:rPr>
              <w:t>&lt; 100 ms</w:t>
            </w:r>
          </w:p>
        </w:tc>
        <w:tc>
          <w:tcPr>
            <w:tcW w:type="dxa" w:w="2016"/>
            <w:shd w:fill="FFFFFF"/>
          </w:tcPr>
          <w:p>
            <w:pPr>
              <w:spacing w:before="60" w:after="60"/>
              <w:jc w:val="left"/>
            </w:pPr>
            <w:r>
              <w:rPr>
                <w:rFonts w:ascii="Segoe UI" w:hAnsi="Segoe UI"/>
                <w:color w:val="1E293B"/>
                <w:sz w:val="18"/>
              </w:rPr>
              <w:t>&lt; 45 ms on standard CPU</w:t>
            </w:r>
          </w:p>
        </w:tc>
      </w:tr>
      <w:tr>
        <w:tc>
          <w:tcPr>
            <w:tcW w:type="dxa" w:w="2304"/>
            <w:shd w:fill="F8FAFC"/>
          </w:tcPr>
          <w:p>
            <w:pPr>
              <w:spacing w:before="60" w:after="60"/>
              <w:jc w:val="left"/>
            </w:pPr>
            <w:r>
              <w:rPr>
                <w:rFonts w:ascii="Segoe UI" w:hAnsi="Segoe UI"/>
                <w:color w:val="1E293B"/>
                <w:sz w:val="18"/>
              </w:rPr>
              <w:t>System Performance</w:t>
            </w:r>
          </w:p>
        </w:tc>
        <w:tc>
          <w:tcPr>
            <w:tcW w:type="dxa" w:w="3168"/>
            <w:shd w:fill="F8FAFC"/>
          </w:tcPr>
          <w:p>
            <w:pPr>
              <w:spacing w:before="60" w:after="60"/>
              <w:jc w:val="left"/>
            </w:pPr>
            <w:r>
              <w:rPr>
                <w:rFonts w:ascii="Segoe UI" w:hAnsi="Segoe UI"/>
                <w:color w:val="1E293B"/>
                <w:sz w:val="18"/>
              </w:rPr>
              <w:t>End-to-End Triage Response Time</w:t>
            </w:r>
          </w:p>
        </w:tc>
        <w:tc>
          <w:tcPr>
            <w:tcW w:type="dxa" w:w="1872"/>
            <w:shd w:fill="F8FAFC"/>
          </w:tcPr>
          <w:p>
            <w:pPr>
              <w:spacing w:before="60" w:after="60"/>
              <w:jc w:val="left"/>
            </w:pPr>
            <w:r>
              <w:rPr>
                <w:rFonts w:ascii="Segoe UI" w:hAnsi="Segoe UI"/>
                <w:color w:val="1E293B"/>
                <w:sz w:val="18"/>
              </w:rPr>
              <w:t>&lt; 3.0 sec</w:t>
            </w:r>
          </w:p>
        </w:tc>
        <w:tc>
          <w:tcPr>
            <w:tcW w:type="dxa" w:w="2016"/>
            <w:shd w:fill="F8FAFC"/>
          </w:tcPr>
          <w:p>
            <w:pPr>
              <w:spacing w:before="60" w:after="60"/>
              <w:jc w:val="left"/>
            </w:pPr>
            <w:r>
              <w:rPr>
                <w:rFonts w:ascii="Segoe UI" w:hAnsi="Segoe UI"/>
                <w:color w:val="1E293B"/>
                <w:sz w:val="18"/>
              </w:rPr>
              <w:t>1.8 - 2.4 sec (including LLM reasoning)</w:t>
            </w:r>
          </w:p>
        </w:tc>
      </w:tr>
    </w:tbl>
    <w:p>
      <w:pPr>
        <w:spacing w:before="120" w:after="80"/>
      </w:pPr>
    </w:p>
    <w:p>
      <w:pPr>
        <w:keepNext/>
        <w:spacing w:before="360" w:after="120"/>
      </w:pPr>
      <w:r>
        <w:rPr>
          <w:rFonts w:ascii="Segoe UI" w:hAnsi="Segoe UI"/>
          <w:b/>
          <w:color w:val="0A2540"/>
          <w:sz w:val="32"/>
        </w:rPr>
        <w:t>5. Release Plan &amp; Phased Roadmap</w:t>
      </w:r>
    </w:p>
    <w:p>
      <w:pPr>
        <w:keepNext/>
        <w:spacing w:before="240" w:after="80"/>
      </w:pPr>
      <w:r>
        <w:rPr>
          <w:rFonts w:ascii="Segoe UI" w:hAnsi="Segoe UI"/>
          <w:b/>
          <w:color w:val="0077B6"/>
          <w:sz w:val="25"/>
        </w:rPr>
        <w:t>Phase 1: Minimum Viable Product (MVP) — Completed</w:t>
      </w:r>
    </w:p>
    <w:p>
      <w:pPr>
        <w:pStyle w:val="ListBullet"/>
        <w:spacing w:before="0" w:after="60" w:line="276" w:lineRule="auto"/>
        <w:ind w:left="360"/>
      </w:pPr>
      <w:r>
        <w:rPr>
          <w:rFonts w:ascii="Segoe UI" w:hAnsi="Segoe UI"/>
          <w:b/>
          <w:color w:val="1E293B"/>
          <w:sz w:val="20"/>
        </w:rPr>
        <w:t>Core ML Triage:</w:t>
      </w:r>
      <w:r>
        <w:rPr>
          <w:rFonts w:ascii="Segoe UI" w:hAnsi="Segoe UI"/>
          <w:color w:val="1E293B"/>
          <w:sz w:val="20"/>
        </w:rPr>
        <w:t xml:space="preserve"> Scikit-Learn 50-tree Random Forest inference engine with 280 binary symptom features and 101 disease classes.</w:t>
      </w:r>
    </w:p>
    <w:p>
      <w:pPr>
        <w:pStyle w:val="ListBullet"/>
        <w:spacing w:before="0" w:after="60" w:line="276" w:lineRule="auto"/>
        <w:ind w:left="360"/>
      </w:pPr>
      <w:r>
        <w:rPr>
          <w:rFonts w:ascii="Segoe UI" w:hAnsi="Segoe UI"/>
          <w:b/>
          <w:color w:val="1E293B"/>
          <w:sz w:val="20"/>
        </w:rPr>
        <w:t>Drug Registry:</w:t>
      </w:r>
      <w:r>
        <w:rPr>
          <w:rFonts w:ascii="Segoe UI" w:hAnsi="Segoe UI"/>
          <w:color w:val="1E293B"/>
          <w:sz w:val="20"/>
        </w:rPr>
        <w:t xml:space="preserve"> Real-time queries to NIH DailyMed and OpenFDA for medication details.</w:t>
      </w:r>
    </w:p>
    <w:p>
      <w:pPr>
        <w:pStyle w:val="ListBullet"/>
        <w:spacing w:before="0" w:after="60" w:line="276" w:lineRule="auto"/>
        <w:ind w:left="360"/>
      </w:pPr>
      <w:r>
        <w:rPr>
          <w:rFonts w:ascii="Segoe UI" w:hAnsi="Segoe UI"/>
          <w:b/>
          <w:color w:val="1E293B"/>
          <w:sz w:val="20"/>
        </w:rPr>
        <w:t>Medical OCR:</w:t>
      </w:r>
      <w:r>
        <w:rPr>
          <w:rFonts w:ascii="Segoe UI" w:hAnsi="Segoe UI"/>
          <w:color w:val="1E293B"/>
          <w:sz w:val="20"/>
        </w:rPr>
        <w:t xml:space="preserve"> Basic Tesseract OCR and Gemini vision for document text extraction.</w:t>
      </w:r>
    </w:p>
    <w:p>
      <w:pPr>
        <w:pStyle w:val="ListBullet"/>
        <w:spacing w:before="0" w:after="60" w:line="276" w:lineRule="auto"/>
        <w:ind w:left="360"/>
      </w:pPr>
      <w:r>
        <w:rPr>
          <w:rFonts w:ascii="Segoe UI" w:hAnsi="Segoe UI"/>
          <w:b/>
          <w:color w:val="1E293B"/>
          <w:sz w:val="20"/>
        </w:rPr>
        <w:t>UI Dashboard:</w:t>
      </w:r>
      <w:r>
        <w:rPr>
          <w:rFonts w:ascii="Segoe UI" w:hAnsi="Segoe UI"/>
          <w:color w:val="1E293B"/>
          <w:sz w:val="20"/>
        </w:rPr>
        <w:t xml:space="preserve"> Interactive Streamlit multi-tab interface with initial English/Hindi support.</w:t>
      </w:r>
    </w:p>
    <w:p>
      <w:pPr>
        <w:keepNext/>
        <w:spacing w:before="240" w:after="80"/>
      </w:pPr>
      <w:r>
        <w:rPr>
          <w:rFonts w:ascii="Segoe UI" w:hAnsi="Segoe UI"/>
          <w:b/>
          <w:color w:val="0077B6"/>
          <w:sz w:val="25"/>
        </w:rPr>
        <w:t>Phase 2: Enterprise Clinical Red Edition — Current Production Release</w:t>
      </w:r>
    </w:p>
    <w:p>
      <w:pPr>
        <w:pStyle w:val="ListBullet"/>
        <w:spacing w:before="0" w:after="60" w:line="276" w:lineRule="auto"/>
        <w:ind w:left="360"/>
      </w:pPr>
      <w:r>
        <w:rPr>
          <w:rFonts w:ascii="Segoe UI" w:hAnsi="Segoe UI"/>
          <w:b/>
          <w:color w:val="1E293B"/>
          <w:sz w:val="20"/>
        </w:rPr>
        <w:t>Pipeline v3 Surgical Intelligence:</w:t>
      </w:r>
      <w:r>
        <w:rPr>
          <w:rFonts w:ascii="Segoe UI" w:hAnsi="Segoe UI"/>
          <w:color w:val="1E293B"/>
          <w:sz w:val="20"/>
        </w:rPr>
        <w:t xml:space="preserve"> Strict evidence-channel separation, constituent red flag safety gates, duration-aware testing gates.</w:t>
      </w:r>
    </w:p>
    <w:p>
      <w:pPr>
        <w:pStyle w:val="ListBullet"/>
        <w:spacing w:before="0" w:after="60" w:line="276" w:lineRule="auto"/>
        <w:ind w:left="360"/>
      </w:pPr>
      <w:r>
        <w:rPr>
          <w:rFonts w:ascii="Segoe UI" w:hAnsi="Segoe UI"/>
          <w:b/>
          <w:color w:val="1E293B"/>
          <w:sz w:val="20"/>
        </w:rPr>
        <w:t>Multilingual Voice Stack:</w:t>
      </w:r>
      <w:r>
        <w:rPr>
          <w:rFonts w:ascii="Segoe UI" w:hAnsi="Segoe UI"/>
          <w:color w:val="1E293B"/>
          <w:sz w:val="20"/>
        </w:rPr>
        <w:t xml:space="preserve"> Official Google Cloud Speech-to-Text and TTS with instant fallback to gTTS/SpeechRecognition.</w:t>
      </w:r>
    </w:p>
    <w:p>
      <w:pPr>
        <w:pStyle w:val="ListBullet"/>
        <w:spacing w:before="0" w:after="60" w:line="276" w:lineRule="auto"/>
        <w:ind w:left="360"/>
      </w:pPr>
      <w:r>
        <w:rPr>
          <w:rFonts w:ascii="Segoe UI" w:hAnsi="Segoe UI"/>
          <w:b/>
          <w:color w:val="1E293B"/>
          <w:sz w:val="20"/>
        </w:rPr>
        <w:t>National Command Center:</w:t>
      </w:r>
      <w:r>
        <w:rPr>
          <w:rFonts w:ascii="Segoe UI" w:hAnsi="Segoe UI"/>
          <w:color w:val="1E293B"/>
          <w:sz w:val="20"/>
        </w:rPr>
        <w:t xml:space="preserve"> Comprehensive telemetry over 225+ PHCs, WAPE 6.53% demand forecaster, and automated transfer solver.</w:t>
      </w:r>
    </w:p>
    <w:p>
      <w:pPr>
        <w:pStyle w:val="ListBullet"/>
        <w:spacing w:before="0" w:after="60" w:line="276" w:lineRule="auto"/>
        <w:ind w:left="360"/>
      </w:pPr>
      <w:r>
        <w:rPr>
          <w:rFonts w:ascii="Segoe UI" w:hAnsi="Segoe UI"/>
          <w:b/>
          <w:color w:val="1E293B"/>
          <w:sz w:val="20"/>
        </w:rPr>
        <w:t>Cloud Data Infrastructure:</w:t>
      </w:r>
      <w:r>
        <w:rPr>
          <w:rFonts w:ascii="Segoe UI" w:hAnsi="Segoe UI"/>
          <w:color w:val="1E293B"/>
          <w:sz w:val="20"/>
        </w:rPr>
        <w:t xml:space="preserve"> Dual-tier persistence with SQLite edge vault, Supabase PostgreSQL with Row-Level Security (RLS), and BigQuery streaming.</w:t>
      </w:r>
    </w:p>
    <w:p>
      <w:pPr>
        <w:keepNext/>
        <w:spacing w:before="240" w:after="80"/>
      </w:pPr>
      <w:r>
        <w:rPr>
          <w:rFonts w:ascii="Segoe UI" w:hAnsi="Segoe UI"/>
          <w:b/>
          <w:color w:val="0077B6"/>
          <w:sz w:val="25"/>
        </w:rPr>
        <w:t>Phase 3: National Scale &amp; Mobile Deployment — Future Roadmap</w:t>
      </w:r>
    </w:p>
    <w:p>
      <w:pPr>
        <w:pStyle w:val="ListBullet"/>
        <w:spacing w:before="0" w:after="60" w:line="276" w:lineRule="auto"/>
        <w:ind w:left="360"/>
      </w:pPr>
      <w:r>
        <w:rPr>
          <w:rFonts w:ascii="Segoe UI" w:hAnsi="Segoe UI"/>
          <w:b/>
          <w:color w:val="1E293B"/>
          <w:sz w:val="20"/>
        </w:rPr>
        <w:t>Cross-Platform Mobile App:</w:t>
      </w:r>
      <w:r>
        <w:rPr>
          <w:rFonts w:ascii="Segoe UI" w:hAnsi="Segoe UI"/>
          <w:color w:val="1E293B"/>
          <w:sz w:val="20"/>
        </w:rPr>
        <w:t xml:space="preserve"> Native iOS and Android Flutter applications for offline field use by ASHA workers.</w:t>
      </w:r>
    </w:p>
    <w:p>
      <w:pPr>
        <w:pStyle w:val="ListBullet"/>
        <w:spacing w:before="0" w:after="60" w:line="276" w:lineRule="auto"/>
        <w:ind w:left="360"/>
      </w:pPr>
      <w:r>
        <w:rPr>
          <w:rFonts w:ascii="Segoe UI" w:hAnsi="Segoe UI"/>
          <w:b/>
          <w:color w:val="1E293B"/>
          <w:sz w:val="20"/>
        </w:rPr>
        <w:t>ABHA National Health ID:</w:t>
      </w:r>
      <w:r>
        <w:rPr>
          <w:rFonts w:ascii="Segoe UI" w:hAnsi="Segoe UI"/>
          <w:color w:val="1E293B"/>
          <w:sz w:val="20"/>
        </w:rPr>
        <w:t xml:space="preserve"> Integration with Ayushman Bharat Digital Mission (ABDM) for instant ABHA health record synchronization.</w:t>
      </w:r>
    </w:p>
    <w:p>
      <w:pPr>
        <w:pStyle w:val="ListBullet"/>
        <w:spacing w:before="0" w:after="60" w:line="276" w:lineRule="auto"/>
        <w:ind w:left="360"/>
      </w:pPr>
      <w:r>
        <w:rPr>
          <w:rFonts w:ascii="Segoe UI" w:hAnsi="Segoe UI"/>
          <w:b/>
          <w:color w:val="1E293B"/>
          <w:sz w:val="20"/>
        </w:rPr>
        <w:t>Edge IoT Deployments:</w:t>
      </w:r>
      <w:r>
        <w:rPr>
          <w:rFonts w:ascii="Segoe UI" w:hAnsi="Segoe UI"/>
          <w:color w:val="1E293B"/>
          <w:sz w:val="20"/>
        </w:rPr>
        <w:t xml:space="preserve"> Embedded edge inference models on low-cost Android tablets and Raspberry Pi for sub-centers without cellular coverage.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Enterprise Clinical Health Intelligence | 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Product Requirements Document [EN]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