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A2540"/>
          <w:sz w:val="48"/>
        </w:rPr>
        <w:t>DocMindX AI — Software Requirements Specification (SRS)</w:t>
      </w:r>
    </w:p>
    <w:p>
      <w:pPr>
        <w:spacing w:before="0" w:after="240"/>
        <w:jc w:val="left"/>
      </w:pPr>
      <w:r>
        <w:rPr>
          <w:rFonts w:ascii="Segoe UI" w:hAnsi="Segoe UI"/>
          <w:i/>
          <w:color w:val="0077B6"/>
          <w:sz w:val="24"/>
        </w:rPr>
        <w:t>Formal Engineering Specifications, Functional Logic &amp; Clinical Data Contracts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F1F5F9"/>
          </w:tcPr>
          <w:p>
            <w:pPr>
              <w:spacing w:before="40" w:after="40"/>
            </w:pPr>
            <w:r>
              <w:rPr>
                <w:rFonts w:ascii="Segoe UI" w:hAnsi="Segoe UI"/>
                <w:b/>
                <w:color w:val="0A2540"/>
                <w:sz w:val="18"/>
              </w:rPr>
              <w:t>Project</w:t>
            </w:r>
          </w:p>
        </w:tc>
        <w:tc>
          <w:tcPr>
            <w:tcW w:type="dxa" w:w="2592"/>
            <w:shd w:fill="F8FAFC"/>
          </w:tcPr>
          <w:p>
            <w:pPr>
              <w:spacing w:before="40" w:after="40"/>
            </w:pPr>
            <w:r>
              <w:rPr>
                <w:rFonts w:ascii="Segoe UI" w:hAnsi="Segoe UI"/>
                <w:color w:val="1E293B"/>
                <w:sz w:val="18"/>
              </w:rPr>
              <w:t>DocMindX AI v2.0</w:t>
            </w:r>
          </w:p>
        </w:tc>
        <w:tc>
          <w:tcPr>
            <w:tcW w:type="dxa" w:w="2160"/>
            <w:shd w:fill="F1F5F9"/>
          </w:tcPr>
          <w:p>
            <w:pPr>
              <w:spacing w:before="40" w:after="40"/>
            </w:pPr>
            <w:r>
              <w:rPr>
                <w:rFonts w:ascii="Segoe UI" w:hAnsi="Segoe UI"/>
                <w:b/>
                <w:color w:val="0A2540"/>
                <w:sz w:val="18"/>
              </w:rPr>
              <w:t>Author</w:t>
            </w:r>
          </w:p>
        </w:tc>
        <w:tc>
          <w:tcPr>
            <w:tcW w:type="dxa" w:w="2448"/>
            <w:shd w:fill="F8FAFC"/>
          </w:tcPr>
          <w:p>
            <w:pPr>
              <w:spacing w:before="40" w:after="40"/>
            </w:pPr>
            <w:r>
              <w:rPr>
                <w:rFonts w:ascii="Segoe UI" w:hAnsi="Segoe UI"/>
                <w:color w:val="1E293B"/>
                <w:sz w:val="18"/>
              </w:rPr>
              <w:t>Daksh Vasani</w:t>
            </w:r>
          </w:p>
        </w:tc>
      </w:tr>
      <w:tr>
        <w:tc>
          <w:tcPr>
            <w:tcW w:type="dxa" w:w="2160"/>
            <w:shd w:fill="F1F5F9"/>
          </w:tcPr>
          <w:p>
            <w:pPr>
              <w:spacing w:before="40" w:after="40"/>
            </w:pPr>
            <w:r>
              <w:rPr>
                <w:rFonts w:ascii="Segoe UI" w:hAnsi="Segoe UI"/>
                <w:b/>
                <w:color w:val="0A2540"/>
                <w:sz w:val="18"/>
              </w:rPr>
              <w:t>Track</w:t>
            </w:r>
          </w:p>
        </w:tc>
        <w:tc>
          <w:tcPr>
            <w:tcW w:type="dxa" w:w="2592"/>
            <w:shd w:fill="F8FAFC"/>
          </w:tcPr>
          <w:p>
            <w:pPr>
              <w:spacing w:before="40" w:after="40"/>
            </w:pPr>
            <w:r>
              <w:rPr>
                <w:rFonts w:ascii="Segoe UI" w:hAnsi="Segoe UI"/>
                <w:color w:val="1E293B"/>
                <w:sz w:val="18"/>
              </w:rPr>
              <w:t>Smart Health &amp; Supply Chain</w:t>
            </w:r>
          </w:p>
        </w:tc>
        <w:tc>
          <w:tcPr>
            <w:tcW w:type="dxa" w:w="2160"/>
            <w:shd w:fill="F1F5F9"/>
          </w:tcPr>
          <w:p>
            <w:pPr>
              <w:spacing w:before="40" w:after="40"/>
            </w:pPr>
            <w:r>
              <w:rPr>
                <w:rFonts w:ascii="Segoe UI" w:hAnsi="Segoe UI"/>
                <w:b/>
                <w:color w:val="0A2540"/>
                <w:sz w:val="18"/>
              </w:rPr>
              <w:t>Status</w:t>
            </w:r>
          </w:p>
        </w:tc>
        <w:tc>
          <w:tcPr>
            <w:tcW w:type="dxa" w:w="2448"/>
            <w:shd w:fill="F8FAFC"/>
          </w:tcPr>
          <w:p>
            <w:pPr>
              <w:spacing w:before="40" w:after="40"/>
            </w:pPr>
            <w:r>
              <w:rPr>
                <w:rFonts w:ascii="Segoe UI" w:hAnsi="Segoe UI"/>
                <w:color w:val="1E293B"/>
                <w:sz w:val="18"/>
              </w:rPr>
              <w:t>Production Ready / Verified</w:t>
            </w:r>
          </w:p>
        </w:tc>
      </w:tr>
    </w:tbl>
    <w:p>
      <w:pPr>
        <w:spacing w:before="240" w:after="160"/>
      </w:pPr>
    </w:p>
    <w:p>
      <w:pPr>
        <w:keepNext/>
        <w:spacing w:before="360" w:after="120"/>
      </w:pPr>
      <w:r>
        <w:rPr>
          <w:rFonts w:ascii="Segoe UI" w:hAnsi="Segoe UI"/>
          <w:b/>
          <w:color w:val="0A2540"/>
          <w:sz w:val="32"/>
        </w:rPr>
        <w:t>1. Introduction</w:t>
      </w:r>
    </w:p>
    <w:p>
      <w:pPr>
        <w:keepNext/>
        <w:spacing w:before="240" w:after="80"/>
      </w:pPr>
      <w:r>
        <w:rPr>
          <w:rFonts w:ascii="Segoe UI" w:hAnsi="Segoe UI"/>
          <w:b/>
          <w:color w:val="0077B6"/>
          <w:sz w:val="25"/>
        </w:rPr>
        <w:t>1.1 Purpose &amp; Scope</w:t>
      </w:r>
    </w:p>
    <w:p>
      <w:pPr>
        <w:spacing w:before="0" w:after="80" w:line="276" w:lineRule="auto"/>
      </w:pPr>
      <w:r>
        <w:rPr>
          <w:rFonts w:ascii="Segoe UI" w:hAnsi="Segoe UI"/>
          <w:i w:val="0"/>
          <w:color w:val="1E293B"/>
          <w:sz w:val="20"/>
        </w:rPr>
        <w:t>This Software Requirements Specification (SRS) document formalizes the complete technical, functional, algorithmic, and architectural requirements for DocMindX AI (Version 2.0 Enterprise Clinical Red Edition). This document serves as the binding technical contract for software engineers, machine learning researchers, clinical safety auditors, and devops infrastructure teams.</w:t>
      </w:r>
    </w:p>
    <w:p>
      <w:pPr>
        <w:keepNext/>
        <w:spacing w:before="240" w:after="80"/>
      </w:pPr>
      <w:r>
        <w:rPr>
          <w:rFonts w:ascii="Segoe UI" w:hAnsi="Segoe UI"/>
          <w:b/>
          <w:color w:val="0077B6"/>
          <w:sz w:val="25"/>
        </w:rPr>
        <w:t>1.2 Definitions, Acronyms &amp; Abbreviations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0A2540"/>
          </w:tcPr>
          <w:p>
            <w:pPr>
              <w:spacing w:before="80" w:after="80"/>
              <w:jc w:val="left"/>
            </w:pPr>
            <w:r>
              <w:rPr>
                <w:rFonts w:ascii="Segoe UI" w:hAnsi="Segoe UI"/>
                <w:b/>
                <w:color w:val="FFFFFF"/>
                <w:sz w:val="19"/>
              </w:rPr>
              <w:t>Term / Acronym</w:t>
            </w:r>
          </w:p>
        </w:tc>
        <w:tc>
          <w:tcPr>
            <w:tcW w:type="dxa" w:w="3312"/>
            <w:shd w:fill="0A2540"/>
          </w:tcPr>
          <w:p>
            <w:pPr>
              <w:spacing w:before="80" w:after="80"/>
              <w:jc w:val="left"/>
            </w:pPr>
            <w:r>
              <w:rPr>
                <w:rFonts w:ascii="Segoe UI" w:hAnsi="Segoe UI"/>
                <w:b/>
                <w:color w:val="FFFFFF"/>
                <w:sz w:val="19"/>
              </w:rPr>
              <w:t>Full Expansion</w:t>
            </w:r>
          </w:p>
        </w:tc>
        <w:tc>
          <w:tcPr>
            <w:tcW w:type="dxa" w:w="4032"/>
            <w:shd w:fill="0A2540"/>
          </w:tcPr>
          <w:p>
            <w:pPr>
              <w:spacing w:before="80" w:after="80"/>
              <w:jc w:val="left"/>
            </w:pPr>
            <w:r>
              <w:rPr>
                <w:rFonts w:ascii="Segoe UI" w:hAnsi="Segoe UI"/>
                <w:b/>
                <w:color w:val="FFFFFF"/>
                <w:sz w:val="19"/>
              </w:rPr>
              <w:t>Operational Definition in DocMindX AI</w:t>
            </w:r>
          </w:p>
        </w:tc>
      </w:tr>
      <w:tr>
        <w:tc>
          <w:tcPr>
            <w:tcW w:type="dxa" w:w="2016"/>
            <w:shd w:fill="FFFFFF"/>
          </w:tcPr>
          <w:p>
            <w:pPr>
              <w:spacing w:before="60" w:after="60"/>
              <w:jc w:val="left"/>
            </w:pPr>
            <w:r>
              <w:rPr>
                <w:rFonts w:ascii="Segoe UI" w:hAnsi="Segoe UI"/>
                <w:color w:val="1E293B"/>
                <w:sz w:val="18"/>
              </w:rPr>
              <w:t>PHC / CHC</w:t>
            </w:r>
          </w:p>
        </w:tc>
        <w:tc>
          <w:tcPr>
            <w:tcW w:type="dxa" w:w="3312"/>
            <w:shd w:fill="FFFFFF"/>
          </w:tcPr>
          <w:p>
            <w:pPr>
              <w:spacing w:before="60" w:after="60"/>
              <w:jc w:val="left"/>
            </w:pPr>
            <w:r>
              <w:rPr>
                <w:rFonts w:ascii="Segoe UI" w:hAnsi="Segoe UI"/>
                <w:color w:val="1E293B"/>
                <w:sz w:val="18"/>
              </w:rPr>
              <w:t>Primary / Community Health Centre</w:t>
            </w:r>
          </w:p>
        </w:tc>
        <w:tc>
          <w:tcPr>
            <w:tcW w:type="dxa" w:w="4032"/>
            <w:shd w:fill="FFFFFF"/>
          </w:tcPr>
          <w:p>
            <w:pPr>
              <w:spacing w:before="60" w:after="60"/>
              <w:jc w:val="left"/>
            </w:pPr>
            <w:r>
              <w:rPr>
                <w:rFonts w:ascii="Segoe UI" w:hAnsi="Segoe UI"/>
                <w:color w:val="1E293B"/>
                <w:sz w:val="18"/>
              </w:rPr>
              <w:t>Tier-1 and Tier-2 rural/semi-urban government healthcare facilities.</w:t>
            </w:r>
          </w:p>
        </w:tc>
      </w:tr>
      <w:tr>
        <w:tc>
          <w:tcPr>
            <w:tcW w:type="dxa" w:w="2016"/>
            <w:shd w:fill="F8FAFC"/>
          </w:tcPr>
          <w:p>
            <w:pPr>
              <w:spacing w:before="60" w:after="60"/>
              <w:jc w:val="left"/>
            </w:pPr>
            <w:r>
              <w:rPr>
                <w:rFonts w:ascii="Segoe UI" w:hAnsi="Segoe UI"/>
                <w:color w:val="1E293B"/>
                <w:sz w:val="18"/>
              </w:rPr>
              <w:t>NLEM 2022</w:t>
            </w:r>
          </w:p>
        </w:tc>
        <w:tc>
          <w:tcPr>
            <w:tcW w:type="dxa" w:w="3312"/>
            <w:shd w:fill="F8FAFC"/>
          </w:tcPr>
          <w:p>
            <w:pPr>
              <w:spacing w:before="60" w:after="60"/>
              <w:jc w:val="left"/>
            </w:pPr>
            <w:r>
              <w:rPr>
                <w:rFonts w:ascii="Segoe UI" w:hAnsi="Segoe UI"/>
                <w:color w:val="1E293B"/>
                <w:sz w:val="18"/>
              </w:rPr>
              <w:t>National List of Essential Medicines</w:t>
            </w:r>
          </w:p>
        </w:tc>
        <w:tc>
          <w:tcPr>
            <w:tcW w:type="dxa" w:w="4032"/>
            <w:shd w:fill="F8FAFC"/>
          </w:tcPr>
          <w:p>
            <w:pPr>
              <w:spacing w:before="60" w:after="60"/>
              <w:jc w:val="left"/>
            </w:pPr>
            <w:r>
              <w:rPr>
                <w:rFonts w:ascii="Segoe UI" w:hAnsi="Segoe UI"/>
                <w:color w:val="1E293B"/>
                <w:sz w:val="18"/>
              </w:rPr>
              <w:t>384 essential drug formulations mandated by MoHFW India.</w:t>
            </w:r>
          </w:p>
        </w:tc>
      </w:tr>
      <w:tr>
        <w:tc>
          <w:tcPr>
            <w:tcW w:type="dxa" w:w="2016"/>
            <w:shd w:fill="FFFFFF"/>
          </w:tcPr>
          <w:p>
            <w:pPr>
              <w:spacing w:before="60" w:after="60"/>
              <w:jc w:val="left"/>
            </w:pPr>
            <w:r>
              <w:rPr>
                <w:rFonts w:ascii="Segoe UI" w:hAnsi="Segoe UI"/>
                <w:color w:val="1E293B"/>
                <w:sz w:val="18"/>
              </w:rPr>
              <w:t>WHO ICD-11</w:t>
            </w:r>
          </w:p>
        </w:tc>
        <w:tc>
          <w:tcPr>
            <w:tcW w:type="dxa" w:w="3312"/>
            <w:shd w:fill="FFFFFF"/>
          </w:tcPr>
          <w:p>
            <w:pPr>
              <w:spacing w:before="60" w:after="60"/>
              <w:jc w:val="left"/>
            </w:pPr>
            <w:r>
              <w:rPr>
                <w:rFonts w:ascii="Segoe UI" w:hAnsi="Segoe UI"/>
                <w:color w:val="1E293B"/>
                <w:sz w:val="18"/>
              </w:rPr>
              <w:t>International Classification of Diseases 11th Rev.</w:t>
            </w:r>
          </w:p>
        </w:tc>
        <w:tc>
          <w:tcPr>
            <w:tcW w:type="dxa" w:w="4032"/>
            <w:shd w:fill="FFFFFF"/>
          </w:tcPr>
          <w:p>
            <w:pPr>
              <w:spacing w:before="60" w:after="60"/>
              <w:jc w:val="left"/>
            </w:pPr>
            <w:r>
              <w:rPr>
                <w:rFonts w:ascii="Segoe UI" w:hAnsi="Segoe UI"/>
                <w:color w:val="1E293B"/>
                <w:sz w:val="18"/>
              </w:rPr>
              <w:t>Global standard diagnostic classification ontology used for disease classes.</w:t>
            </w:r>
          </w:p>
        </w:tc>
      </w:tr>
      <w:tr>
        <w:tc>
          <w:tcPr>
            <w:tcW w:type="dxa" w:w="2016"/>
            <w:shd w:fill="F8FAFC"/>
          </w:tcPr>
          <w:p>
            <w:pPr>
              <w:spacing w:before="60" w:after="60"/>
              <w:jc w:val="left"/>
            </w:pPr>
            <w:r>
              <w:rPr>
                <w:rFonts w:ascii="Segoe UI" w:hAnsi="Segoe UI"/>
                <w:color w:val="1E293B"/>
                <w:sz w:val="18"/>
              </w:rPr>
              <w:t>DOIR</w:t>
            </w:r>
          </w:p>
        </w:tc>
        <w:tc>
          <w:tcPr>
            <w:tcW w:type="dxa" w:w="3312"/>
            <w:shd w:fill="F8FAFC"/>
          </w:tcPr>
          <w:p>
            <w:pPr>
              <w:spacing w:before="60" w:after="60"/>
              <w:jc w:val="left"/>
            </w:pPr>
            <w:r>
              <w:rPr>
                <w:rFonts w:ascii="Segoe UI" w:hAnsi="Segoe UI"/>
                <w:color w:val="1E293B"/>
                <w:sz w:val="18"/>
              </w:rPr>
              <w:t>Days of Inventory Remaining</w:t>
            </w:r>
          </w:p>
        </w:tc>
        <w:tc>
          <w:tcPr>
            <w:tcW w:type="dxa" w:w="4032"/>
            <w:shd w:fill="F8FAFC"/>
          </w:tcPr>
          <w:p>
            <w:pPr>
              <w:spacing w:before="60" w:after="60"/>
              <w:jc w:val="left"/>
            </w:pPr>
            <w:r>
              <w:rPr>
                <w:rFonts w:ascii="Segoe UI" w:hAnsi="Segoe UI"/>
                <w:color w:val="1E293B"/>
                <w:sz w:val="18"/>
              </w:rPr>
              <w:t>Metric: [Stock on Hand / Daily Consumption Rate]. DOIR &lt; 7 triggers stockout alert.</w:t>
            </w:r>
          </w:p>
        </w:tc>
      </w:tr>
      <w:tr>
        <w:tc>
          <w:tcPr>
            <w:tcW w:type="dxa" w:w="2016"/>
            <w:shd w:fill="FFFFFF"/>
          </w:tcPr>
          <w:p>
            <w:pPr>
              <w:spacing w:before="60" w:after="60"/>
              <w:jc w:val="left"/>
            </w:pPr>
            <w:r>
              <w:rPr>
                <w:rFonts w:ascii="Segoe UI" w:hAnsi="Segoe UI"/>
                <w:color w:val="1E293B"/>
                <w:sz w:val="18"/>
              </w:rPr>
              <w:t>WAPE</w:t>
            </w:r>
          </w:p>
        </w:tc>
        <w:tc>
          <w:tcPr>
            <w:tcW w:type="dxa" w:w="3312"/>
            <w:shd w:fill="FFFFFF"/>
          </w:tcPr>
          <w:p>
            <w:pPr>
              <w:spacing w:before="60" w:after="60"/>
              <w:jc w:val="left"/>
            </w:pPr>
            <w:r>
              <w:rPr>
                <w:rFonts w:ascii="Segoe UI" w:hAnsi="Segoe UI"/>
                <w:color w:val="1E293B"/>
                <w:sz w:val="18"/>
              </w:rPr>
              <w:t>Weighted Absolute Percentage Error</w:t>
            </w:r>
          </w:p>
        </w:tc>
        <w:tc>
          <w:tcPr>
            <w:tcW w:type="dxa" w:w="4032"/>
            <w:shd w:fill="FFFFFF"/>
          </w:tcPr>
          <w:p>
            <w:pPr>
              <w:spacing w:before="60" w:after="60"/>
              <w:jc w:val="left"/>
            </w:pPr>
            <w:r>
              <w:rPr>
                <w:rFonts w:ascii="Segoe UI" w:hAnsi="Segoe UI"/>
                <w:color w:val="1E293B"/>
                <w:sz w:val="18"/>
              </w:rPr>
              <w:t>Primary metric for demand forecasting error: (Sum |Actual - Forecast| / Sum Actual).</w:t>
            </w:r>
          </w:p>
        </w:tc>
      </w:tr>
      <w:tr>
        <w:tc>
          <w:tcPr>
            <w:tcW w:type="dxa" w:w="2016"/>
            <w:shd w:fill="F8FAFC"/>
          </w:tcPr>
          <w:p>
            <w:pPr>
              <w:spacing w:before="60" w:after="60"/>
              <w:jc w:val="left"/>
            </w:pPr>
            <w:r>
              <w:rPr>
                <w:rFonts w:ascii="Segoe UI" w:hAnsi="Segoe UI"/>
                <w:color w:val="1E293B"/>
                <w:sz w:val="18"/>
              </w:rPr>
              <w:t>RLS</w:t>
            </w:r>
          </w:p>
        </w:tc>
        <w:tc>
          <w:tcPr>
            <w:tcW w:type="dxa" w:w="3312"/>
            <w:shd w:fill="F8FAFC"/>
          </w:tcPr>
          <w:p>
            <w:pPr>
              <w:spacing w:before="60" w:after="60"/>
              <w:jc w:val="left"/>
            </w:pPr>
            <w:r>
              <w:rPr>
                <w:rFonts w:ascii="Segoe UI" w:hAnsi="Segoe UI"/>
                <w:color w:val="1E293B"/>
                <w:sz w:val="18"/>
              </w:rPr>
              <w:t>Row-Level Security</w:t>
            </w:r>
          </w:p>
        </w:tc>
        <w:tc>
          <w:tcPr>
            <w:tcW w:type="dxa" w:w="4032"/>
            <w:shd w:fill="F8FAFC"/>
          </w:tcPr>
          <w:p>
            <w:pPr>
              <w:spacing w:before="60" w:after="60"/>
              <w:jc w:val="left"/>
            </w:pPr>
            <w:r>
              <w:rPr>
                <w:rFonts w:ascii="Segoe UI" w:hAnsi="Segoe UI"/>
                <w:color w:val="1E293B"/>
                <w:sz w:val="18"/>
              </w:rPr>
              <w:t>PostgreSQL database security layer restricting record visibility strictly to the owning user.</w:t>
            </w:r>
          </w:p>
        </w:tc>
      </w:tr>
      <w:tr>
        <w:tc>
          <w:tcPr>
            <w:tcW w:type="dxa" w:w="2016"/>
            <w:shd w:fill="FFFFFF"/>
          </w:tcPr>
          <w:p>
            <w:pPr>
              <w:spacing w:before="60" w:after="60"/>
              <w:jc w:val="left"/>
            </w:pPr>
            <w:r>
              <w:rPr>
                <w:rFonts w:ascii="Segoe UI" w:hAnsi="Segoe UI"/>
                <w:color w:val="1E293B"/>
                <w:sz w:val="18"/>
              </w:rPr>
              <w:t>Pipeline v3</w:t>
            </w:r>
          </w:p>
        </w:tc>
        <w:tc>
          <w:tcPr>
            <w:tcW w:type="dxa" w:w="3312"/>
            <w:shd w:fill="FFFFFF"/>
          </w:tcPr>
          <w:p>
            <w:pPr>
              <w:spacing w:before="60" w:after="60"/>
              <w:jc w:val="left"/>
            </w:pPr>
            <w:r>
              <w:rPr>
                <w:rFonts w:ascii="Segoe UI" w:hAnsi="Segoe UI"/>
                <w:color w:val="1E293B"/>
                <w:sz w:val="18"/>
              </w:rPr>
              <w:t>Surgical Clinical Intelligence Pipeline</w:t>
            </w:r>
          </w:p>
        </w:tc>
        <w:tc>
          <w:tcPr>
            <w:tcW w:type="dxa" w:w="4032"/>
            <w:shd w:fill="FFFFFF"/>
          </w:tcPr>
          <w:p>
            <w:pPr>
              <w:spacing w:before="60" w:after="60"/>
              <w:jc w:val="left"/>
            </w:pPr>
            <w:r>
              <w:rPr>
                <w:rFonts w:ascii="Segoe UI" w:hAnsi="Segoe UI"/>
                <w:color w:val="1E293B"/>
                <w:sz w:val="18"/>
              </w:rPr>
              <w:t>Three-tier architecture isolating patient evidence from candidate ontology titles.</w:t>
            </w:r>
          </w:p>
        </w:tc>
      </w:tr>
    </w:tbl>
    <w:p>
      <w:pPr>
        <w:spacing w:before="120" w:after="80"/>
      </w:pPr>
    </w:p>
    <w:p>
      <w:pPr>
        <w:keepNext/>
        <w:spacing w:before="360" w:after="120"/>
      </w:pPr>
      <w:r>
        <w:rPr>
          <w:rFonts w:ascii="Segoe UI" w:hAnsi="Segoe UI"/>
          <w:b/>
          <w:color w:val="0A2540"/>
          <w:sz w:val="32"/>
        </w:rPr>
        <w:t>2. Overall System Description</w:t>
      </w:r>
    </w:p>
    <w:p>
      <w:pPr>
        <w:spacing w:before="0" w:after="80" w:line="276" w:lineRule="auto"/>
      </w:pPr>
      <w:r>
        <w:rPr>
          <w:rFonts w:ascii="Segoe UI" w:hAnsi="Segoe UI"/>
          <w:i w:val="0"/>
          <w:color w:val="1E293B"/>
          <w:sz w:val="20"/>
        </w:rPr>
        <w:t>DocMindX AI operates as a distributed, dual-tier hybrid platform combining an ultra-fast, local-first client dashboard with an enterprise cloud persistence and analytics layer. The platform executes machine learning inference, medical computer vision, multilingual natural language parsing, and linear supply chain optimization.</w:t>
      </w:r>
    </w:p>
    <w:p>
      <w:pPr>
        <w:keepNext/>
        <w:spacing w:before="240" w:after="80"/>
      </w:pPr>
      <w:r>
        <w:rPr>
          <w:rFonts w:ascii="Segoe UI" w:hAnsi="Segoe UI"/>
          <w:b/>
          <w:color w:val="0077B6"/>
          <w:sz w:val="25"/>
        </w:rPr>
        <w:t>2.1 User Classes &amp; Operational Environment</w:t>
      </w:r>
    </w:p>
    <w:p>
      <w:pPr>
        <w:pStyle w:val="ListBullet"/>
        <w:spacing w:before="0" w:after="60" w:line="276" w:lineRule="auto"/>
        <w:ind w:left="360"/>
      </w:pPr>
      <w:r>
        <w:rPr>
          <w:rFonts w:ascii="Segoe UI" w:hAnsi="Segoe UI"/>
          <w:b/>
          <w:color w:val="1E293B"/>
          <w:sz w:val="20"/>
        </w:rPr>
        <w:t>Citizens &amp; Patients:</w:t>
      </w:r>
      <w:r>
        <w:rPr>
          <w:rFonts w:ascii="Segoe UI" w:hAnsi="Segoe UI"/>
          <w:color w:val="1E293B"/>
          <w:sz w:val="20"/>
        </w:rPr>
        <w:t xml:space="preserve"> Interacting via mobile or desktop web browsers (Chrome, Edge, Safari, Firefox). Consumes trilingual audio/text assessments and layman diagnostic explanations.</w:t>
      </w:r>
    </w:p>
    <w:p>
      <w:pPr>
        <w:pStyle w:val="ListBullet"/>
        <w:spacing w:before="0" w:after="60" w:line="276" w:lineRule="auto"/>
        <w:ind w:left="360"/>
      </w:pPr>
      <w:r>
        <w:rPr>
          <w:rFonts w:ascii="Segoe UI" w:hAnsi="Segoe UI"/>
          <w:b/>
          <w:color w:val="1E293B"/>
          <w:sz w:val="20"/>
        </w:rPr>
        <w:t>Frontline Workers &amp; Nurses:</w:t>
      </w:r>
      <w:r>
        <w:rPr>
          <w:rFonts w:ascii="Segoe UI" w:hAnsi="Segoe UI"/>
          <w:color w:val="1E293B"/>
          <w:sz w:val="20"/>
        </w:rPr>
        <w:t xml:space="preserve"> Using portable Android tablets and laptops in community clinics. Utilizes offline-resilient local caches and emergency triage red-flag gates.</w:t>
      </w:r>
    </w:p>
    <w:p>
      <w:pPr>
        <w:pStyle w:val="ListBullet"/>
        <w:spacing w:before="0" w:after="60" w:line="276" w:lineRule="auto"/>
        <w:ind w:left="360"/>
      </w:pPr>
      <w:r>
        <w:rPr>
          <w:rFonts w:ascii="Segoe UI" w:hAnsi="Segoe UI"/>
          <w:b/>
          <w:color w:val="1E293B"/>
          <w:sz w:val="20"/>
        </w:rPr>
        <w:t>Public Health Administrators:</w:t>
      </w:r>
      <w:r>
        <w:rPr>
          <w:rFonts w:ascii="Segoe UI" w:hAnsi="Segoe UI"/>
          <w:color w:val="1E293B"/>
          <w:sz w:val="20"/>
        </w:rPr>
        <w:t xml:space="preserve"> Operating high-throughput command consoles. Reviews state-wide heatmaps, multi-day demand predictions, and executes cross-district transfer manifests.</w:t>
      </w:r>
    </w:p>
    <w:p>
      <w:pPr>
        <w:keepNext/>
        <w:spacing w:before="360" w:after="120"/>
      </w:pPr>
      <w:r>
        <w:rPr>
          <w:rFonts w:ascii="Segoe UI" w:hAnsi="Segoe UI"/>
          <w:b/>
          <w:color w:val="0A2540"/>
          <w:sz w:val="32"/>
        </w:rPr>
        <w:t>3. Detailed Functional Requirements (FR)</w:t>
      </w:r>
    </w:p>
    <w:p>
      <w:pPr>
        <w:spacing w:before="0" w:after="80" w:line="276" w:lineRule="auto"/>
      </w:pPr>
      <w:r>
        <w:rPr>
          <w:rFonts w:ascii="Segoe UI" w:hAnsi="Segoe UI"/>
          <w:i w:val="0"/>
          <w:color w:val="1E293B"/>
          <w:sz w:val="20"/>
        </w:rPr>
        <w:t>The following 15 functional requirements govern the behavioral logic of the DocMindX AI platform:</w:t>
      </w:r>
    </w:p>
    <w:p>
      <w:pPr>
        <w:keepNext/>
        <w:spacing w:before="240" w:after="80"/>
      </w:pPr>
      <w:r>
        <w:rPr>
          <w:rFonts w:ascii="Segoe UI" w:hAnsi="Segoe UI"/>
          <w:b/>
          <w:color w:val="0077B6"/>
          <w:sz w:val="25"/>
        </w:rPr>
        <w:t>FR-01: Multilingual Indic NLP &amp; Negation Engine</w:t>
      </w:r>
    </w:p>
    <w:p>
      <w:pPr>
        <w:spacing w:before="0" w:after="80" w:line="276" w:lineRule="auto"/>
      </w:pPr>
      <w:r>
        <w:rPr>
          <w:rFonts w:ascii="Segoe UI" w:hAnsi="Segoe UI"/>
          <w:i w:val="0"/>
          <w:color w:val="1E293B"/>
          <w:sz w:val="20"/>
        </w:rPr>
        <w:t>The system SHALL accept free-text and audio input in English, Hindi, Gujarati, Marathi, Bengali, Telugu, and Tamil. The system SHALL execute phonetic transliteration and regular expression normalization against 'ai/disease_prediction/canonical_concepts.py'. The system SHALL strictly detect and filter negated clinical entities (e.g. 'no fever', 'mathu nathi dukhtu') from positive symptom vectors.</w:t>
      </w:r>
    </w:p>
    <w:p>
      <w:pPr>
        <w:keepNext/>
        <w:spacing w:before="240" w:after="80"/>
      </w:pPr>
      <w:r>
        <w:rPr>
          <w:rFonts w:ascii="Segoe UI" w:hAnsi="Segoe UI"/>
          <w:b/>
          <w:color w:val="0077B6"/>
          <w:sz w:val="25"/>
        </w:rPr>
        <w:t>FR-02: 280-Dimensional Clinical Feature Vectorization</w:t>
      </w:r>
    </w:p>
    <w:p>
      <w:pPr>
        <w:spacing w:before="0" w:after="80" w:line="276" w:lineRule="auto"/>
      </w:pPr>
      <w:r>
        <w:rPr>
          <w:rFonts w:ascii="Segoe UI" w:hAnsi="Segoe UI"/>
          <w:i w:val="0"/>
          <w:color w:val="1E293B"/>
          <w:sz w:val="20"/>
        </w:rPr>
        <w:t>The system SHALL map extracted canonical tokens into a fixed 280-dimensional binary feature vector. Any recognized symptom SHALL set the corresponding feature index to 1, while absent or denied symptoms SHALL remain 0.</w:t>
      </w:r>
    </w:p>
    <w:p>
      <w:pPr>
        <w:keepNext/>
        <w:spacing w:before="240" w:after="80"/>
      </w:pPr>
      <w:r>
        <w:rPr>
          <w:rFonts w:ascii="Segoe UI" w:hAnsi="Segoe UI"/>
          <w:b/>
          <w:color w:val="0077B6"/>
          <w:sz w:val="25"/>
        </w:rPr>
        <w:t>FR-03: Dual-Tier Random Forest Machine Learning Inference</w:t>
      </w:r>
    </w:p>
    <w:p>
      <w:pPr>
        <w:spacing w:before="0" w:after="80" w:line="276" w:lineRule="auto"/>
      </w:pPr>
      <w:r>
        <w:rPr>
          <w:rFonts w:ascii="Segoe UI" w:hAnsi="Segoe UI"/>
          <w:i w:val="0"/>
          <w:color w:val="1E293B"/>
          <w:sz w:val="20"/>
        </w:rPr>
        <w:t>The system SHALL execute inference using a Scikit-Learn RandomForestClassifier (50 Decision Trees, Gini Impurity, serialized as 'models/disease_model.pkl'). The model SHALL output calibrated class probabilities across 101 ICD-11 aligned disease classes within &lt;45 milliseconds on standard CPU.</w:t>
      </w:r>
    </w:p>
    <w:p>
      <w:pPr>
        <w:keepNext/>
        <w:spacing w:before="240" w:after="80"/>
      </w:pPr>
      <w:r>
        <w:rPr>
          <w:rFonts w:ascii="Segoe UI" w:hAnsi="Segoe UI"/>
          <w:b/>
          <w:color w:val="0077B6"/>
          <w:sz w:val="25"/>
        </w:rPr>
        <w:t>FR-04: Knowledge Graph Validation &amp; Candidate Re-Ranking</w:t>
      </w:r>
    </w:p>
    <w:p>
      <w:pPr>
        <w:spacing w:before="0" w:after="80" w:line="276" w:lineRule="auto"/>
      </w:pPr>
      <w:r>
        <w:rPr>
          <w:rFonts w:ascii="Segoe UI" w:hAnsi="Segoe UI"/>
          <w:i w:val="0"/>
          <w:color w:val="1E293B"/>
          <w:sz w:val="20"/>
        </w:rPr>
        <w:t>The system SHALL cross-reference ML candidate diseases against a bipartite clinical disease-symptom knowledge graph and live WHO ICD-11 ontology. Candidate diseases lacking verifiable overlap with authentic patient-reported symptoms SHALL be dropped to prevent hallucination.</w:t>
      </w:r>
    </w:p>
    <w:p>
      <w:pPr>
        <w:keepNext/>
        <w:spacing w:before="240" w:after="80"/>
      </w:pPr>
      <w:r>
        <w:rPr>
          <w:rFonts w:ascii="Segoe UI" w:hAnsi="Segoe UI"/>
          <w:b/>
          <w:color w:val="0077B6"/>
          <w:sz w:val="25"/>
        </w:rPr>
        <w:t>FR-05: Constituent Red Flag Safety Gating</w:t>
      </w:r>
    </w:p>
    <w:p>
      <w:pPr>
        <w:spacing w:before="0" w:after="80" w:line="276" w:lineRule="auto"/>
      </w:pPr>
      <w:r>
        <w:rPr>
          <w:rFonts w:ascii="Segoe UI" w:hAnsi="Segoe UI"/>
          <w:i w:val="0"/>
          <w:color w:val="1E293B"/>
          <w:sz w:val="20"/>
        </w:rPr>
        <w:t>The system SHALL evaluate rule-based emergency triggers (RF001 to RF035). For composite emergencies (e.g. RF030 Head Injury with Vomiting), the gate SHALL require constituent head trauma PLUS persistent vomiting; isolated headaches SHALL NOT trigger emergency evacuation status.</w:t>
      </w:r>
    </w:p>
    <w:p>
      <w:pPr>
        <w:keepNext/>
        <w:spacing w:before="240" w:after="80"/>
      </w:pPr>
      <w:r>
        <w:rPr>
          <w:rFonts w:ascii="Segoe UI" w:hAnsi="Segoe UI"/>
          <w:b/>
          <w:color w:val="0077B6"/>
          <w:sz w:val="25"/>
        </w:rPr>
        <w:t>FR-06: Multimodal Medical Vision &amp; Prescription OCR</w:t>
      </w:r>
    </w:p>
    <w:p>
      <w:pPr>
        <w:spacing w:before="0" w:after="80" w:line="276" w:lineRule="auto"/>
      </w:pPr>
      <w:r>
        <w:rPr>
          <w:rFonts w:ascii="Segoe UI" w:hAnsi="Segoe UI"/>
          <w:i w:val="0"/>
          <w:color w:val="1E293B"/>
          <w:sz w:val="20"/>
        </w:rPr>
        <w:t>The system SHALL process uploaded image files (PNG, JPG, WEBP) and PDF documents. The system SHALL invoke Google Gemini 2.5 Flash Vision (with local PyTesseract + OpenCV thresholding fallback) to extract drug names, dosages, frequencies, and cautionary guidelines.</w:t>
      </w:r>
    </w:p>
    <w:p>
      <w:pPr>
        <w:keepNext/>
        <w:spacing w:before="240" w:after="80"/>
      </w:pPr>
      <w:r>
        <w:rPr>
          <w:rFonts w:ascii="Segoe UI" w:hAnsi="Segoe UI"/>
          <w:b/>
          <w:color w:val="0077B6"/>
          <w:sz w:val="25"/>
        </w:rPr>
        <w:t>FR-07: Biochemical Reference Range &amp; Blood Analyzer</w:t>
      </w:r>
    </w:p>
    <w:p>
      <w:pPr>
        <w:spacing w:before="0" w:after="80" w:line="276" w:lineRule="auto"/>
      </w:pPr>
      <w:r>
        <w:rPr>
          <w:rFonts w:ascii="Segoe UI" w:hAnsi="Segoe UI"/>
          <w:i w:val="0"/>
          <w:color w:val="1E293B"/>
          <w:sz w:val="20"/>
        </w:rPr>
        <w:t>The system SHALL parse Complete Blood Count (CBC), Liver Function Tests (LFT), Lipid Profiles, and Metabolic Panels against clinical reference ranges defined in 'datasets/blood_report/'. Any out-of-range value SHALL be classified as High/Low with a clinical severity rating.</w:t>
      </w:r>
    </w:p>
    <w:p>
      <w:pPr>
        <w:keepNext/>
        <w:spacing w:before="240" w:after="80"/>
      </w:pPr>
      <w:r>
        <w:rPr>
          <w:rFonts w:ascii="Segoe UI" w:hAnsi="Segoe UI"/>
          <w:b/>
          <w:color w:val="0077B6"/>
          <w:sz w:val="25"/>
        </w:rPr>
        <w:t>FR-08: DailyMed &amp; OpenFDA Truthful Provenance Verification</w:t>
      </w:r>
    </w:p>
    <w:p>
      <w:pPr>
        <w:spacing w:before="0" w:after="80" w:line="276" w:lineRule="auto"/>
      </w:pPr>
      <w:r>
        <w:rPr>
          <w:rFonts w:ascii="Segoe UI" w:hAnsi="Segoe UI"/>
          <w:i w:val="0"/>
          <w:color w:val="1E293B"/>
          <w:sz w:val="20"/>
        </w:rPr>
        <w:t>The system SHALL query NIH DailyMed REST API and OpenFDA API to retrieve authentic packaging images and active ingredients. If an authoritative SPL record is not found, the drug SHALL be flagged as 'UNVERIFIED', strictly preventing fabricated dosage forms or artificial promotions.</w:t>
      </w:r>
    </w:p>
    <w:p>
      <w:pPr>
        <w:keepNext/>
        <w:spacing w:before="240" w:after="80"/>
      </w:pPr>
      <w:r>
        <w:rPr>
          <w:rFonts w:ascii="Segoe UI" w:hAnsi="Segoe UI"/>
          <w:b/>
          <w:color w:val="0077B6"/>
          <w:sz w:val="25"/>
        </w:rPr>
        <w:t>FR-09: ICMR-NIN Evidence-Based Nutrition &amp; Duration-Gated Care</w:t>
      </w:r>
    </w:p>
    <w:p>
      <w:pPr>
        <w:spacing w:before="0" w:after="80" w:line="276" w:lineRule="auto"/>
      </w:pPr>
      <w:r>
        <w:rPr>
          <w:rFonts w:ascii="Segoe UI" w:hAnsi="Segoe UI"/>
          <w:i w:val="0"/>
          <w:color w:val="1E293B"/>
          <w:sz w:val="20"/>
        </w:rPr>
        <w:t>The system SHALL generate dietary advice adhering to ICMR-NIN guidelines. If the reported symptom duration is acute (&lt;= 4 days), routine non-emergency diagnostics (e.g. Brain MRI, EEG, Lipid profile) SHALL be suppressed, prioritizing immediate exposure evaluations (rabies, tetanus, wound care).</w:t>
      </w:r>
    </w:p>
    <w:p>
      <w:pPr>
        <w:keepNext/>
        <w:spacing w:before="240" w:after="80"/>
      </w:pPr>
      <w:r>
        <w:rPr>
          <w:rFonts w:ascii="Segoe UI" w:hAnsi="Segoe UI"/>
          <w:b/>
          <w:color w:val="0077B6"/>
          <w:sz w:val="25"/>
        </w:rPr>
        <w:t>FR-10: Overpass QL &amp; Google Maps Real-Time Healthcare Geolocation</w:t>
      </w:r>
    </w:p>
    <w:p>
      <w:pPr>
        <w:spacing w:before="0" w:after="80" w:line="276" w:lineRule="auto"/>
      </w:pPr>
      <w:r>
        <w:rPr>
          <w:rFonts w:ascii="Segoe UI" w:hAnsi="Segoe UI"/>
          <w:i w:val="0"/>
          <w:color w:val="1E293B"/>
          <w:sz w:val="20"/>
        </w:rPr>
        <w:t>The system SHALL query the OpenStreetMap Overpass API and Google Maps Places API within a user-configurable radius (5 to 50 km). It SHALL return verified 24x7 emergency hospitals, ICUs, and trauma centers with turn-by-turn routing distances.</w:t>
      </w:r>
    </w:p>
    <w:p>
      <w:pPr>
        <w:keepNext/>
        <w:spacing w:before="240" w:after="80"/>
      </w:pPr>
      <w:r>
        <w:rPr>
          <w:rFonts w:ascii="Segoe UI" w:hAnsi="Segoe UI"/>
          <w:b/>
          <w:color w:val="0077B6"/>
          <w:sz w:val="25"/>
        </w:rPr>
        <w:t>FR-11: Public Health Ingestion Manager (Track 03)</w:t>
      </w:r>
    </w:p>
    <w:p>
      <w:pPr>
        <w:spacing w:before="0" w:after="80" w:line="276" w:lineRule="auto"/>
      </w:pPr>
      <w:r>
        <w:rPr>
          <w:rFonts w:ascii="Segoe UI" w:hAnsi="Segoe UI"/>
          <w:i w:val="0"/>
          <w:color w:val="1E293B"/>
          <w:sz w:val="20"/>
        </w:rPr>
        <w:t>The system SHALL ingest and reconcile 10 official public health data streams (MoHFW HMIS 2019-20, Rajya Sabha Session 266, NFHS-5 706 districts, NLEM 2022, IPHS 2022 norms, and WHO Outbreak reports). Each ingested record SHALL carry an immutable provenance tag.</w:t>
      </w:r>
    </w:p>
    <w:p>
      <w:pPr>
        <w:keepNext/>
        <w:spacing w:before="240" w:after="80"/>
      </w:pPr>
      <w:r>
        <w:rPr>
          <w:rFonts w:ascii="Segoe UI" w:hAnsi="Segoe UI"/>
          <w:b/>
          <w:color w:val="0077B6"/>
          <w:sz w:val="25"/>
        </w:rPr>
        <w:t>FR-12: Multi-Factor Epidemic Demand Forecaster</w:t>
      </w:r>
    </w:p>
    <w:p>
      <w:pPr>
        <w:spacing w:before="0" w:after="80" w:line="276" w:lineRule="auto"/>
      </w:pPr>
      <w:r>
        <w:rPr>
          <w:rFonts w:ascii="Segoe UI" w:hAnsi="Segoe UI"/>
          <w:i w:val="0"/>
          <w:color w:val="1E293B"/>
          <w:sz w:val="20"/>
        </w:rPr>
        <w:t>The system SHALL compute 7-day predictive medicine demand forecasts across 225+ health facilities using Scikit-Learn Random Forest Regressor models trained on consumption velocity, seasonal rainfall indices, and disease transmission rates, achieving a WAPE of &lt;= 6.53%.</w:t>
      </w:r>
    </w:p>
    <w:p>
      <w:pPr>
        <w:keepNext/>
        <w:spacing w:before="240" w:after="80"/>
      </w:pPr>
      <w:r>
        <w:rPr>
          <w:rFonts w:ascii="Segoe UI" w:hAnsi="Segoe UI"/>
          <w:b/>
          <w:color w:val="0077B6"/>
          <w:sz w:val="25"/>
        </w:rPr>
        <w:t>FR-13: DOIR Stockout Detection &amp; Alerting</w:t>
      </w:r>
    </w:p>
    <w:p>
      <w:pPr>
        <w:spacing w:before="0" w:after="80" w:line="276" w:lineRule="auto"/>
      </w:pPr>
      <w:r>
        <w:rPr>
          <w:rFonts w:ascii="Segoe UI" w:hAnsi="Segoe UI"/>
          <w:i w:val="0"/>
          <w:color w:val="1E293B"/>
          <w:sz w:val="20"/>
        </w:rPr>
        <w:t>The system SHALL compute Days of Inventory Remaining (DOIR) for all facilities. A DOIR &lt; 3 days SHALL trigger a CRITICAL STOCKOUT ALERT; a DOIR between 3 and 7 days SHALL trigger a WARNING ALERT with automated incident summaries generated by Gemini Flash.</w:t>
      </w:r>
    </w:p>
    <w:p>
      <w:pPr>
        <w:keepNext/>
        <w:spacing w:before="240" w:after="80"/>
      </w:pPr>
      <w:r>
        <w:rPr>
          <w:rFonts w:ascii="Segoe UI" w:hAnsi="Segoe UI"/>
          <w:b/>
          <w:color w:val="0077B6"/>
          <w:sz w:val="25"/>
        </w:rPr>
        <w:t>FR-14: Two-Stage Logistics Transit &amp; Redistribution Solver</w:t>
      </w:r>
    </w:p>
    <w:p>
      <w:pPr>
        <w:spacing w:before="0" w:after="80" w:line="276" w:lineRule="auto"/>
      </w:pPr>
      <w:r>
        <w:rPr>
          <w:rFonts w:ascii="Segoe UI" w:hAnsi="Segoe UI"/>
          <w:i w:val="0"/>
          <w:color w:val="1E293B"/>
          <w:sz w:val="20"/>
        </w:rPr>
        <w:t>The system SHALL execute a two-stage linear transit solver to resolve regional stockouts. Stage 1 executes intra-district rebalancing between neighboring PHCs. Stage 2 executes inter-district transfers from tertiary district warehouses, producing official transfer manifests.</w:t>
      </w:r>
    </w:p>
    <w:p>
      <w:pPr>
        <w:keepNext/>
        <w:spacing w:before="240" w:after="80"/>
      </w:pPr>
      <w:r>
        <w:rPr>
          <w:rFonts w:ascii="Segoe UI" w:hAnsi="Segoe UI"/>
          <w:b/>
          <w:color w:val="0077B6"/>
          <w:sz w:val="25"/>
        </w:rPr>
        <w:t>FR-15: User Authentication, Family Profiles &amp; Supabase RLS</w:t>
      </w:r>
    </w:p>
    <w:p>
      <w:pPr>
        <w:spacing w:before="0" w:after="80" w:line="276" w:lineRule="auto"/>
      </w:pPr>
      <w:r>
        <w:rPr>
          <w:rFonts w:ascii="Segoe UI" w:hAnsi="Segoe UI"/>
          <w:i w:val="0"/>
          <w:color w:val="1E293B"/>
          <w:sz w:val="20"/>
        </w:rPr>
        <w:t>The system SHALL provide email/password registration with Bcrypt hashing, SHA-256 hashed OTP verification, and multi-profile family management. In cloud environments, PostgreSQL Row-Level Security (RLS) SHALL enforce strict tenancy isolation.</w:t>
      </w:r>
    </w:p>
    <w:p>
      <w:pPr>
        <w:keepNext/>
        <w:spacing w:before="360" w:after="120"/>
      </w:pPr>
      <w:r>
        <w:rPr>
          <w:rFonts w:ascii="Segoe UI" w:hAnsi="Segoe UI"/>
          <w:b/>
          <w:color w:val="0A2540"/>
          <w:sz w:val="32"/>
        </w:rPr>
        <w:t>4. Non-Functional Requirements (NFR)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440"/>
            <w:shd w:fill="0A2540"/>
          </w:tcPr>
          <w:p>
            <w:pPr>
              <w:spacing w:before="80" w:after="80"/>
              <w:jc w:val="left"/>
            </w:pPr>
            <w:r>
              <w:rPr>
                <w:rFonts w:ascii="Segoe UI" w:hAnsi="Segoe UI"/>
                <w:b/>
                <w:color w:val="FFFFFF"/>
                <w:sz w:val="19"/>
              </w:rPr>
              <w:t>NFR Code</w:t>
            </w:r>
          </w:p>
        </w:tc>
        <w:tc>
          <w:tcPr>
            <w:tcW w:type="dxa" w:w="2592"/>
            <w:shd w:fill="0A2540"/>
          </w:tcPr>
          <w:p>
            <w:pPr>
              <w:spacing w:before="80" w:after="80"/>
              <w:jc w:val="left"/>
            </w:pPr>
            <w:r>
              <w:rPr>
                <w:rFonts w:ascii="Segoe UI" w:hAnsi="Segoe UI"/>
                <w:b/>
                <w:color w:val="FFFFFF"/>
                <w:sz w:val="19"/>
              </w:rPr>
              <w:t>Requirement Category</w:t>
            </w:r>
          </w:p>
        </w:tc>
        <w:tc>
          <w:tcPr>
            <w:tcW w:type="dxa" w:w="3312"/>
            <w:shd w:fill="0A2540"/>
          </w:tcPr>
          <w:p>
            <w:pPr>
              <w:spacing w:before="80" w:after="80"/>
              <w:jc w:val="left"/>
            </w:pPr>
            <w:r>
              <w:rPr>
                <w:rFonts w:ascii="Segoe UI" w:hAnsi="Segoe UI"/>
                <w:b/>
                <w:color w:val="FFFFFF"/>
                <w:sz w:val="19"/>
              </w:rPr>
              <w:t>Specification Standard</w:t>
            </w:r>
          </w:p>
        </w:tc>
        <w:tc>
          <w:tcPr>
            <w:tcW w:type="dxa" w:w="2016"/>
            <w:shd w:fill="0A2540"/>
          </w:tcPr>
          <w:p>
            <w:pPr>
              <w:spacing w:before="80" w:after="80"/>
              <w:jc w:val="left"/>
            </w:pPr>
            <w:r>
              <w:rPr>
                <w:rFonts w:ascii="Segoe UI" w:hAnsi="Segoe UI"/>
                <w:b/>
                <w:color w:val="FFFFFF"/>
                <w:sz w:val="19"/>
              </w:rPr>
              <w:t>Verification Method</w:t>
            </w:r>
          </w:p>
        </w:tc>
      </w:tr>
      <w:tr>
        <w:tc>
          <w:tcPr>
            <w:tcW w:type="dxa" w:w="1440"/>
            <w:shd w:fill="FFFFFF"/>
          </w:tcPr>
          <w:p>
            <w:pPr>
              <w:spacing w:before="60" w:after="60"/>
              <w:jc w:val="left"/>
            </w:pPr>
            <w:r>
              <w:rPr>
                <w:rFonts w:ascii="Segoe UI" w:hAnsi="Segoe UI"/>
                <w:color w:val="1E293B"/>
                <w:sz w:val="18"/>
              </w:rPr>
              <w:t>NFR-01</w:t>
            </w:r>
          </w:p>
        </w:tc>
        <w:tc>
          <w:tcPr>
            <w:tcW w:type="dxa" w:w="2592"/>
            <w:shd w:fill="FFFFFF"/>
          </w:tcPr>
          <w:p>
            <w:pPr>
              <w:spacing w:before="60" w:after="60"/>
              <w:jc w:val="left"/>
            </w:pPr>
            <w:r>
              <w:rPr>
                <w:rFonts w:ascii="Segoe UI" w:hAnsi="Segoe UI"/>
                <w:color w:val="1E293B"/>
                <w:sz w:val="18"/>
              </w:rPr>
              <w:t>Inference Latency</w:t>
            </w:r>
          </w:p>
        </w:tc>
        <w:tc>
          <w:tcPr>
            <w:tcW w:type="dxa" w:w="3312"/>
            <w:shd w:fill="FFFFFF"/>
          </w:tcPr>
          <w:p>
            <w:pPr>
              <w:spacing w:before="60" w:after="60"/>
              <w:jc w:val="left"/>
            </w:pPr>
            <w:r>
              <w:rPr>
                <w:rFonts w:ascii="Segoe UI" w:hAnsi="Segoe UI"/>
                <w:color w:val="1E293B"/>
                <w:sz w:val="18"/>
              </w:rPr>
              <w:t>Random Forest vector inference &lt; 45 ms on standard CPU.</w:t>
            </w:r>
          </w:p>
        </w:tc>
        <w:tc>
          <w:tcPr>
            <w:tcW w:type="dxa" w:w="2016"/>
            <w:shd w:fill="FFFFFF"/>
          </w:tcPr>
          <w:p>
            <w:pPr>
              <w:spacing w:before="60" w:after="60"/>
              <w:jc w:val="left"/>
            </w:pPr>
            <w:r>
              <w:rPr>
                <w:rFonts w:ascii="Segoe UI" w:hAnsi="Segoe UI"/>
                <w:color w:val="1E293B"/>
                <w:sz w:val="18"/>
              </w:rPr>
              <w:t>Automated benchmark in verify_ml_model.py</w:t>
            </w:r>
          </w:p>
        </w:tc>
      </w:tr>
      <w:tr>
        <w:tc>
          <w:tcPr>
            <w:tcW w:type="dxa" w:w="1440"/>
            <w:shd w:fill="F8FAFC"/>
          </w:tcPr>
          <w:p>
            <w:pPr>
              <w:spacing w:before="60" w:after="60"/>
              <w:jc w:val="left"/>
            </w:pPr>
            <w:r>
              <w:rPr>
                <w:rFonts w:ascii="Segoe UI" w:hAnsi="Segoe UI"/>
                <w:color w:val="1E293B"/>
                <w:sz w:val="18"/>
              </w:rPr>
              <w:t>NFR-02</w:t>
            </w:r>
          </w:p>
        </w:tc>
        <w:tc>
          <w:tcPr>
            <w:tcW w:type="dxa" w:w="2592"/>
            <w:shd w:fill="F8FAFC"/>
          </w:tcPr>
          <w:p>
            <w:pPr>
              <w:spacing w:before="60" w:after="60"/>
              <w:jc w:val="left"/>
            </w:pPr>
            <w:r>
              <w:rPr>
                <w:rFonts w:ascii="Segoe UI" w:hAnsi="Segoe UI"/>
                <w:color w:val="1E293B"/>
                <w:sz w:val="18"/>
              </w:rPr>
              <w:t>End-to-End Latency</w:t>
            </w:r>
          </w:p>
        </w:tc>
        <w:tc>
          <w:tcPr>
            <w:tcW w:type="dxa" w:w="3312"/>
            <w:shd w:fill="F8FAFC"/>
          </w:tcPr>
          <w:p>
            <w:pPr>
              <w:spacing w:before="60" w:after="60"/>
              <w:jc w:val="left"/>
            </w:pPr>
            <w:r>
              <w:rPr>
                <w:rFonts w:ascii="Segoe UI" w:hAnsi="Segoe UI"/>
                <w:color w:val="1E293B"/>
                <w:sz w:val="18"/>
              </w:rPr>
              <w:t>Full multilingual triage response rendered within 2.5 seconds.</w:t>
            </w:r>
          </w:p>
        </w:tc>
        <w:tc>
          <w:tcPr>
            <w:tcW w:type="dxa" w:w="2016"/>
            <w:shd w:fill="F8FAFC"/>
          </w:tcPr>
          <w:p>
            <w:pPr>
              <w:spacing w:before="60" w:after="60"/>
              <w:jc w:val="left"/>
            </w:pPr>
            <w:r>
              <w:rPr>
                <w:rFonts w:ascii="Segoe UI" w:hAnsi="Segoe UI"/>
                <w:color w:val="1E293B"/>
                <w:sz w:val="18"/>
              </w:rPr>
              <w:t>Streamlit session state timer logging</w:t>
            </w:r>
          </w:p>
        </w:tc>
      </w:tr>
      <w:tr>
        <w:tc>
          <w:tcPr>
            <w:tcW w:type="dxa" w:w="1440"/>
            <w:shd w:fill="FFFFFF"/>
          </w:tcPr>
          <w:p>
            <w:pPr>
              <w:spacing w:before="60" w:after="60"/>
              <w:jc w:val="left"/>
            </w:pPr>
            <w:r>
              <w:rPr>
                <w:rFonts w:ascii="Segoe UI" w:hAnsi="Segoe UI"/>
                <w:color w:val="1E293B"/>
                <w:sz w:val="18"/>
              </w:rPr>
              <w:t>NFR-03</w:t>
            </w:r>
          </w:p>
        </w:tc>
        <w:tc>
          <w:tcPr>
            <w:tcW w:type="dxa" w:w="2592"/>
            <w:shd w:fill="FFFFFF"/>
          </w:tcPr>
          <w:p>
            <w:pPr>
              <w:spacing w:before="60" w:after="60"/>
              <w:jc w:val="left"/>
            </w:pPr>
            <w:r>
              <w:rPr>
                <w:rFonts w:ascii="Segoe UI" w:hAnsi="Segoe UI"/>
                <w:color w:val="1E293B"/>
                <w:sz w:val="18"/>
              </w:rPr>
              <w:t>Security &amp; Encryption</w:t>
            </w:r>
          </w:p>
        </w:tc>
        <w:tc>
          <w:tcPr>
            <w:tcW w:type="dxa" w:w="3312"/>
            <w:shd w:fill="FFFFFF"/>
          </w:tcPr>
          <w:p>
            <w:pPr>
              <w:spacing w:before="60" w:after="60"/>
              <w:jc w:val="left"/>
            </w:pPr>
            <w:r>
              <w:rPr>
                <w:rFonts w:ascii="Segoe UI" w:hAnsi="Segoe UI"/>
                <w:color w:val="1E293B"/>
                <w:sz w:val="18"/>
              </w:rPr>
              <w:t>Passwords hashed via Bcrypt (cost factor 12); TLS 1.3 in transit.</w:t>
            </w:r>
          </w:p>
        </w:tc>
        <w:tc>
          <w:tcPr>
            <w:tcW w:type="dxa" w:w="2016"/>
            <w:shd w:fill="FFFFFF"/>
          </w:tcPr>
          <w:p>
            <w:pPr>
              <w:spacing w:before="60" w:after="60"/>
              <w:jc w:val="left"/>
            </w:pPr>
            <w:r>
              <w:rPr>
                <w:rFonts w:ascii="Segoe UI" w:hAnsi="Segoe UI"/>
                <w:color w:val="1E293B"/>
                <w:sz w:val="18"/>
              </w:rPr>
              <w:t>Security audit in database/supabase_rls_security.sql</w:t>
            </w:r>
          </w:p>
        </w:tc>
      </w:tr>
      <w:tr>
        <w:tc>
          <w:tcPr>
            <w:tcW w:type="dxa" w:w="1440"/>
            <w:shd w:fill="F8FAFC"/>
          </w:tcPr>
          <w:p>
            <w:pPr>
              <w:spacing w:before="60" w:after="60"/>
              <w:jc w:val="left"/>
            </w:pPr>
            <w:r>
              <w:rPr>
                <w:rFonts w:ascii="Segoe UI" w:hAnsi="Segoe UI"/>
                <w:color w:val="1E293B"/>
                <w:sz w:val="18"/>
              </w:rPr>
              <w:t>NFR-04</w:t>
            </w:r>
          </w:p>
        </w:tc>
        <w:tc>
          <w:tcPr>
            <w:tcW w:type="dxa" w:w="2592"/>
            <w:shd w:fill="F8FAFC"/>
          </w:tcPr>
          <w:p>
            <w:pPr>
              <w:spacing w:before="60" w:after="60"/>
              <w:jc w:val="left"/>
            </w:pPr>
            <w:r>
              <w:rPr>
                <w:rFonts w:ascii="Segoe UI" w:hAnsi="Segoe UI"/>
                <w:color w:val="1E293B"/>
                <w:sz w:val="18"/>
              </w:rPr>
              <w:t>Data Privacy &amp; Isolation</w:t>
            </w:r>
          </w:p>
        </w:tc>
        <w:tc>
          <w:tcPr>
            <w:tcW w:type="dxa" w:w="3312"/>
            <w:shd w:fill="F8FAFC"/>
          </w:tcPr>
          <w:p>
            <w:pPr>
              <w:spacing w:before="60" w:after="60"/>
              <w:jc w:val="left"/>
            </w:pPr>
            <w:r>
              <w:rPr>
                <w:rFonts w:ascii="Segoe UI" w:hAnsi="Segoe UI"/>
                <w:color w:val="1E293B"/>
                <w:sz w:val="18"/>
              </w:rPr>
              <w:t>Zero cross-user data leakage enforced via PostgreSQL Row-Level Security.</w:t>
            </w:r>
          </w:p>
        </w:tc>
        <w:tc>
          <w:tcPr>
            <w:tcW w:type="dxa" w:w="2016"/>
            <w:shd w:fill="F8FAFC"/>
          </w:tcPr>
          <w:p>
            <w:pPr>
              <w:spacing w:before="60" w:after="60"/>
              <w:jc w:val="left"/>
            </w:pPr>
            <w:r>
              <w:rPr>
                <w:rFonts w:ascii="Segoe UI" w:hAnsi="Segoe UI"/>
                <w:color w:val="1E293B"/>
                <w:sz w:val="18"/>
              </w:rPr>
              <w:t>Unit tests in tests/test_supabase_rls_security.py</w:t>
            </w:r>
          </w:p>
        </w:tc>
      </w:tr>
      <w:tr>
        <w:tc>
          <w:tcPr>
            <w:tcW w:type="dxa" w:w="1440"/>
            <w:shd w:fill="FFFFFF"/>
          </w:tcPr>
          <w:p>
            <w:pPr>
              <w:spacing w:before="60" w:after="60"/>
              <w:jc w:val="left"/>
            </w:pPr>
            <w:r>
              <w:rPr>
                <w:rFonts w:ascii="Segoe UI" w:hAnsi="Segoe UI"/>
                <w:color w:val="1E293B"/>
                <w:sz w:val="18"/>
              </w:rPr>
              <w:t>NFR-05</w:t>
            </w:r>
          </w:p>
        </w:tc>
        <w:tc>
          <w:tcPr>
            <w:tcW w:type="dxa" w:w="2592"/>
            <w:shd w:fill="FFFFFF"/>
          </w:tcPr>
          <w:p>
            <w:pPr>
              <w:spacing w:before="60" w:after="60"/>
              <w:jc w:val="left"/>
            </w:pPr>
            <w:r>
              <w:rPr>
                <w:rFonts w:ascii="Segoe UI" w:hAnsi="Segoe UI"/>
                <w:color w:val="1E293B"/>
                <w:sz w:val="18"/>
              </w:rPr>
              <w:t>Fault Tolerance</w:t>
            </w:r>
          </w:p>
        </w:tc>
        <w:tc>
          <w:tcPr>
            <w:tcW w:type="dxa" w:w="3312"/>
            <w:shd w:fill="FFFFFF"/>
          </w:tcPr>
          <w:p>
            <w:pPr>
              <w:spacing w:before="60" w:after="60"/>
              <w:jc w:val="left"/>
            </w:pPr>
            <w:r>
              <w:rPr>
                <w:rFonts w:ascii="Segoe UI" w:hAnsi="Segoe UI"/>
                <w:color w:val="1E293B"/>
                <w:sz w:val="18"/>
              </w:rPr>
              <w:t>Zero-crash offline mode using compressed Parquet edge stores.</w:t>
            </w:r>
          </w:p>
        </w:tc>
        <w:tc>
          <w:tcPr>
            <w:tcW w:type="dxa" w:w="2016"/>
            <w:shd w:fill="FFFFFF"/>
          </w:tcPr>
          <w:p>
            <w:pPr>
              <w:spacing w:before="60" w:after="60"/>
              <w:jc w:val="left"/>
            </w:pPr>
            <w:r>
              <w:rPr>
                <w:rFonts w:ascii="Segoe UI" w:hAnsi="Segoe UI"/>
                <w:color w:val="1E293B"/>
                <w:sz w:val="18"/>
              </w:rPr>
              <w:t>Offline simulation tests in verify_supply_chain.py</w:t>
            </w:r>
          </w:p>
        </w:tc>
      </w:tr>
      <w:tr>
        <w:tc>
          <w:tcPr>
            <w:tcW w:type="dxa" w:w="1440"/>
            <w:shd w:fill="F8FAFC"/>
          </w:tcPr>
          <w:p>
            <w:pPr>
              <w:spacing w:before="60" w:after="60"/>
              <w:jc w:val="left"/>
            </w:pPr>
            <w:r>
              <w:rPr>
                <w:rFonts w:ascii="Segoe UI" w:hAnsi="Segoe UI"/>
                <w:color w:val="1E293B"/>
                <w:sz w:val="18"/>
              </w:rPr>
              <w:t>NFR-06</w:t>
            </w:r>
          </w:p>
        </w:tc>
        <w:tc>
          <w:tcPr>
            <w:tcW w:type="dxa" w:w="2592"/>
            <w:shd w:fill="F8FAFC"/>
          </w:tcPr>
          <w:p>
            <w:pPr>
              <w:spacing w:before="60" w:after="60"/>
              <w:jc w:val="left"/>
            </w:pPr>
            <w:r>
              <w:rPr>
                <w:rFonts w:ascii="Segoe UI" w:hAnsi="Segoe UI"/>
                <w:color w:val="1E293B"/>
                <w:sz w:val="18"/>
              </w:rPr>
              <w:t>Scalability</w:t>
            </w:r>
          </w:p>
        </w:tc>
        <w:tc>
          <w:tcPr>
            <w:tcW w:type="dxa" w:w="3312"/>
            <w:shd w:fill="F8FAFC"/>
          </w:tcPr>
          <w:p>
            <w:pPr>
              <w:spacing w:before="60" w:after="60"/>
              <w:jc w:val="left"/>
            </w:pPr>
            <w:r>
              <w:rPr>
                <w:rFonts w:ascii="Segoe UI" w:hAnsi="Segoe UI"/>
                <w:color w:val="1E293B"/>
                <w:sz w:val="18"/>
              </w:rPr>
              <w:t>Support 1,000+ concurrent sessions; BigQuery partition by DATE.</w:t>
            </w:r>
          </w:p>
        </w:tc>
        <w:tc>
          <w:tcPr>
            <w:tcW w:type="dxa" w:w="2016"/>
            <w:shd w:fill="F8FAFC"/>
          </w:tcPr>
          <w:p>
            <w:pPr>
              <w:spacing w:before="60" w:after="60"/>
              <w:jc w:val="left"/>
            </w:pPr>
            <w:r>
              <w:rPr>
                <w:rFonts w:ascii="Segoe UI" w:hAnsi="Segoe UI"/>
                <w:color w:val="1E293B"/>
                <w:sz w:val="18"/>
              </w:rPr>
              <w:t>Load testing &amp; BigQuery partitioning schema</w:t>
            </w:r>
          </w:p>
        </w:tc>
      </w:tr>
      <w:tr>
        <w:tc>
          <w:tcPr>
            <w:tcW w:type="dxa" w:w="1440"/>
            <w:shd w:fill="FFFFFF"/>
          </w:tcPr>
          <w:p>
            <w:pPr>
              <w:spacing w:before="60" w:after="60"/>
              <w:jc w:val="left"/>
            </w:pPr>
            <w:r>
              <w:rPr>
                <w:rFonts w:ascii="Segoe UI" w:hAnsi="Segoe UI"/>
                <w:color w:val="1E293B"/>
                <w:sz w:val="18"/>
              </w:rPr>
              <w:t>NFR-07</w:t>
            </w:r>
          </w:p>
        </w:tc>
        <w:tc>
          <w:tcPr>
            <w:tcW w:type="dxa" w:w="2592"/>
            <w:shd w:fill="FFFFFF"/>
          </w:tcPr>
          <w:p>
            <w:pPr>
              <w:spacing w:before="60" w:after="60"/>
              <w:jc w:val="left"/>
            </w:pPr>
            <w:r>
              <w:rPr>
                <w:rFonts w:ascii="Segoe UI" w:hAnsi="Segoe UI"/>
                <w:color w:val="1E293B"/>
                <w:sz w:val="18"/>
              </w:rPr>
              <w:t>Accessibility</w:t>
            </w:r>
          </w:p>
        </w:tc>
        <w:tc>
          <w:tcPr>
            <w:tcW w:type="dxa" w:w="3312"/>
            <w:shd w:fill="FFFFFF"/>
          </w:tcPr>
          <w:p>
            <w:pPr>
              <w:spacing w:before="60" w:after="60"/>
              <w:jc w:val="left"/>
            </w:pPr>
            <w:r>
              <w:rPr>
                <w:rFonts w:ascii="Segoe UI" w:hAnsi="Segoe UI"/>
                <w:color w:val="1E293B"/>
                <w:sz w:val="18"/>
              </w:rPr>
              <w:t>WCAG 2.1 AA compliant contrast ratio (&gt;= 4.5:1); Zero-emoji clinical UI.</w:t>
            </w:r>
          </w:p>
        </w:tc>
        <w:tc>
          <w:tcPr>
            <w:tcW w:type="dxa" w:w="2016"/>
            <w:shd w:fill="FFFFFF"/>
          </w:tcPr>
          <w:p>
            <w:pPr>
              <w:spacing w:before="60" w:after="60"/>
              <w:jc w:val="left"/>
            </w:pPr>
            <w:r>
              <w:rPr>
                <w:rFonts w:ascii="Segoe UI" w:hAnsi="Segoe UI"/>
                <w:color w:val="1E293B"/>
                <w:sz w:val="18"/>
              </w:rPr>
              <w:t>Theme color tokens in config/theme.py</w:t>
            </w:r>
          </w:p>
        </w:tc>
      </w:tr>
      <w:tr>
        <w:tc>
          <w:tcPr>
            <w:tcW w:type="dxa" w:w="1440"/>
            <w:shd w:fill="F8FAFC"/>
          </w:tcPr>
          <w:p>
            <w:pPr>
              <w:spacing w:before="60" w:after="60"/>
              <w:jc w:val="left"/>
            </w:pPr>
            <w:r>
              <w:rPr>
                <w:rFonts w:ascii="Segoe UI" w:hAnsi="Segoe UI"/>
                <w:color w:val="1E293B"/>
                <w:sz w:val="18"/>
              </w:rPr>
              <w:t>NFR-08</w:t>
            </w:r>
          </w:p>
        </w:tc>
        <w:tc>
          <w:tcPr>
            <w:tcW w:type="dxa" w:w="2592"/>
            <w:shd w:fill="F8FAFC"/>
          </w:tcPr>
          <w:p>
            <w:pPr>
              <w:spacing w:before="60" w:after="60"/>
              <w:jc w:val="left"/>
            </w:pPr>
            <w:r>
              <w:rPr>
                <w:rFonts w:ascii="Segoe UI" w:hAnsi="Segoe UI"/>
                <w:color w:val="1E293B"/>
                <w:sz w:val="18"/>
              </w:rPr>
              <w:t>Multilingual Fidelity</w:t>
            </w:r>
          </w:p>
        </w:tc>
        <w:tc>
          <w:tcPr>
            <w:tcW w:type="dxa" w:w="3312"/>
            <w:shd w:fill="F8FAFC"/>
          </w:tcPr>
          <w:p>
            <w:pPr>
              <w:spacing w:before="60" w:after="60"/>
              <w:jc w:val="left"/>
            </w:pPr>
            <w:r>
              <w:rPr>
                <w:rFonts w:ascii="Segoe UI" w:hAnsi="Segoe UI"/>
                <w:color w:val="1E293B"/>
                <w:sz w:val="18"/>
              </w:rPr>
              <w:t>Consistent semantic intent across English, Hindi, and Gujarati.</w:t>
            </w:r>
          </w:p>
        </w:tc>
        <w:tc>
          <w:tcPr>
            <w:tcW w:type="dxa" w:w="2016"/>
            <w:shd w:fill="F8FAFC"/>
          </w:tcPr>
          <w:p>
            <w:pPr>
              <w:spacing w:before="60" w:after="60"/>
              <w:jc w:val="left"/>
            </w:pPr>
            <w:r>
              <w:rPr>
                <w:rFonts w:ascii="Segoe UI" w:hAnsi="Segoe UI"/>
                <w:color w:val="1E293B"/>
                <w:sz w:val="18"/>
              </w:rPr>
              <w:t>Matrix test in tests/test_symptom_normalization_matrix.py</w:t>
            </w:r>
          </w:p>
        </w:tc>
      </w:tr>
    </w:tbl>
    <w:p>
      <w:pPr>
        <w:spacing w:before="120" w:after="80"/>
      </w:pPr>
    </w:p>
    <w:p>
      <w:pPr>
        <w:keepNext/>
        <w:spacing w:before="360" w:after="120"/>
      </w:pPr>
      <w:r>
        <w:rPr>
          <w:rFonts w:ascii="Segoe UI" w:hAnsi="Segoe UI"/>
          <w:b/>
          <w:color w:val="0A2540"/>
          <w:sz w:val="32"/>
        </w:rPr>
        <w:t>5. External System Interfaces &amp; APIs</w:t>
      </w:r>
    </w:p>
    <w:p>
      <w:pPr>
        <w:spacing w:before="0" w:after="80" w:line="276" w:lineRule="auto"/>
      </w:pPr>
      <w:r>
        <w:rPr>
          <w:rFonts w:ascii="Segoe UI" w:hAnsi="Segoe UI"/>
          <w:i w:val="0"/>
          <w:color w:val="1E293B"/>
          <w:sz w:val="20"/>
        </w:rPr>
        <w:t>DocMindX AI integrates with external specialized clinical, geographical, and governmental web services: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872"/>
            <w:shd w:fill="0A2540"/>
          </w:tcPr>
          <w:p>
            <w:pPr>
              <w:spacing w:before="80" w:after="80"/>
              <w:jc w:val="left"/>
            </w:pPr>
            <w:r>
              <w:rPr>
                <w:rFonts w:ascii="Segoe UI" w:hAnsi="Segoe UI"/>
                <w:b/>
                <w:color w:val="FFFFFF"/>
                <w:sz w:val="19"/>
              </w:rPr>
              <w:t>External Service</w:t>
            </w:r>
          </w:p>
        </w:tc>
        <w:tc>
          <w:tcPr>
            <w:tcW w:type="dxa" w:w="2880"/>
            <w:shd w:fill="0A2540"/>
          </w:tcPr>
          <w:p>
            <w:pPr>
              <w:spacing w:before="80" w:after="80"/>
              <w:jc w:val="left"/>
            </w:pPr>
            <w:r>
              <w:rPr>
                <w:rFonts w:ascii="Segoe UI" w:hAnsi="Segoe UI"/>
                <w:b/>
                <w:color w:val="FFFFFF"/>
                <w:sz w:val="19"/>
              </w:rPr>
              <w:t>Protocol / Endpoint</w:t>
            </w:r>
          </w:p>
        </w:tc>
        <w:tc>
          <w:tcPr>
            <w:tcW w:type="dxa" w:w="2736"/>
            <w:shd w:fill="0A2540"/>
          </w:tcPr>
          <w:p>
            <w:pPr>
              <w:spacing w:before="80" w:after="80"/>
              <w:jc w:val="left"/>
            </w:pPr>
            <w:r>
              <w:rPr>
                <w:rFonts w:ascii="Segoe UI" w:hAnsi="Segoe UI"/>
                <w:b/>
                <w:color w:val="FFFFFF"/>
                <w:sz w:val="19"/>
              </w:rPr>
              <w:t>Data Exchanged</w:t>
            </w:r>
          </w:p>
        </w:tc>
        <w:tc>
          <w:tcPr>
            <w:tcW w:type="dxa" w:w="1872"/>
            <w:shd w:fill="0A2540"/>
          </w:tcPr>
          <w:p>
            <w:pPr>
              <w:spacing w:before="80" w:after="80"/>
              <w:jc w:val="left"/>
            </w:pPr>
            <w:r>
              <w:rPr>
                <w:rFonts w:ascii="Segoe UI" w:hAnsi="Segoe UI"/>
                <w:b/>
                <w:color w:val="FFFFFF"/>
                <w:sz w:val="19"/>
              </w:rPr>
              <w:t>Failover Strategy</w:t>
            </w:r>
          </w:p>
        </w:tc>
      </w:tr>
      <w:tr>
        <w:tc>
          <w:tcPr>
            <w:tcW w:type="dxa" w:w="1872"/>
            <w:shd w:fill="FFFFFF"/>
          </w:tcPr>
          <w:p>
            <w:pPr>
              <w:spacing w:before="60" w:after="60"/>
              <w:jc w:val="left"/>
            </w:pPr>
            <w:r>
              <w:rPr>
                <w:rFonts w:ascii="Segoe UI" w:hAnsi="Segoe UI"/>
                <w:color w:val="1E293B"/>
                <w:sz w:val="18"/>
              </w:rPr>
              <w:t>Google Gemini 2.5</w:t>
            </w:r>
          </w:p>
        </w:tc>
        <w:tc>
          <w:tcPr>
            <w:tcW w:type="dxa" w:w="2880"/>
            <w:shd w:fill="FFFFFF"/>
          </w:tcPr>
          <w:p>
            <w:pPr>
              <w:spacing w:before="60" w:after="60"/>
              <w:jc w:val="left"/>
            </w:pPr>
            <w:r>
              <w:rPr>
                <w:rFonts w:ascii="Segoe UI" w:hAnsi="Segoe UI"/>
                <w:color w:val="1E293B"/>
                <w:sz w:val="18"/>
              </w:rPr>
              <w:t>HTTPS REST API (generativelanguage.googleapis.com)</w:t>
            </w:r>
          </w:p>
        </w:tc>
        <w:tc>
          <w:tcPr>
            <w:tcW w:type="dxa" w:w="2736"/>
            <w:shd w:fill="FFFFFF"/>
          </w:tcPr>
          <w:p>
            <w:pPr>
              <w:spacing w:before="60" w:after="60"/>
              <w:jc w:val="left"/>
            </w:pPr>
            <w:r>
              <w:rPr>
                <w:rFonts w:ascii="Segoe UI" w:hAnsi="Segoe UI"/>
                <w:color w:val="1E293B"/>
                <w:sz w:val="18"/>
              </w:rPr>
              <w:t>Multimodal prescription OCR, symptom NLP, deep medical explanations.</w:t>
            </w:r>
          </w:p>
        </w:tc>
        <w:tc>
          <w:tcPr>
            <w:tcW w:type="dxa" w:w="1872"/>
            <w:shd w:fill="FFFFFF"/>
          </w:tcPr>
          <w:p>
            <w:pPr>
              <w:spacing w:before="60" w:after="60"/>
              <w:jc w:val="left"/>
            </w:pPr>
            <w:r>
              <w:rPr>
                <w:rFonts w:ascii="Segoe UI" w:hAnsi="Segoe UI"/>
                <w:color w:val="1E293B"/>
                <w:sz w:val="18"/>
              </w:rPr>
              <w:t>Groq Cloud (Llama-3.3-70B) &amp; local regex.</w:t>
            </w:r>
          </w:p>
        </w:tc>
      </w:tr>
      <w:tr>
        <w:tc>
          <w:tcPr>
            <w:tcW w:type="dxa" w:w="1872"/>
            <w:shd w:fill="F8FAFC"/>
          </w:tcPr>
          <w:p>
            <w:pPr>
              <w:spacing w:before="60" w:after="60"/>
              <w:jc w:val="left"/>
            </w:pPr>
            <w:r>
              <w:rPr>
                <w:rFonts w:ascii="Segoe UI" w:hAnsi="Segoe UI"/>
                <w:color w:val="1E293B"/>
                <w:sz w:val="18"/>
              </w:rPr>
              <w:t>NIH DailyMed</w:t>
            </w:r>
          </w:p>
        </w:tc>
        <w:tc>
          <w:tcPr>
            <w:tcW w:type="dxa" w:w="2880"/>
            <w:shd w:fill="F8FAFC"/>
          </w:tcPr>
          <w:p>
            <w:pPr>
              <w:spacing w:before="60" w:after="60"/>
              <w:jc w:val="left"/>
            </w:pPr>
            <w:r>
              <w:rPr>
                <w:rFonts w:ascii="Segoe UI" w:hAnsi="Segoe UI"/>
                <w:color w:val="1E293B"/>
                <w:sz w:val="18"/>
              </w:rPr>
              <w:t>HTTPS REST API (dailymed.nlm.nih.gov/spl-resources)</w:t>
            </w:r>
          </w:p>
        </w:tc>
        <w:tc>
          <w:tcPr>
            <w:tcW w:type="dxa" w:w="2736"/>
            <w:shd w:fill="F8FAFC"/>
          </w:tcPr>
          <w:p>
            <w:pPr>
              <w:spacing w:before="60" w:after="60"/>
              <w:jc w:val="left"/>
            </w:pPr>
            <w:r>
              <w:rPr>
                <w:rFonts w:ascii="Segoe UI" w:hAnsi="Segoe UI"/>
                <w:color w:val="1E293B"/>
                <w:sz w:val="18"/>
              </w:rPr>
              <w:t>Official SPL packaging photos, drug ingredients, and warnings.</w:t>
            </w:r>
          </w:p>
        </w:tc>
        <w:tc>
          <w:tcPr>
            <w:tcW w:type="dxa" w:w="1872"/>
            <w:shd w:fill="F8FAFC"/>
          </w:tcPr>
          <w:p>
            <w:pPr>
              <w:spacing w:before="60" w:after="60"/>
              <w:jc w:val="left"/>
            </w:pPr>
            <w:r>
              <w:rPr>
                <w:rFonts w:ascii="Segoe UI" w:hAnsi="Segoe UI"/>
                <w:color w:val="1E293B"/>
                <w:sz w:val="18"/>
              </w:rPr>
              <w:t>Local NLEM 2022 cached metadata.</w:t>
            </w:r>
          </w:p>
        </w:tc>
      </w:tr>
      <w:tr>
        <w:tc>
          <w:tcPr>
            <w:tcW w:type="dxa" w:w="1872"/>
            <w:shd w:fill="FFFFFF"/>
          </w:tcPr>
          <w:p>
            <w:pPr>
              <w:spacing w:before="60" w:after="60"/>
              <w:jc w:val="left"/>
            </w:pPr>
            <w:r>
              <w:rPr>
                <w:rFonts w:ascii="Segoe UI" w:hAnsi="Segoe UI"/>
                <w:color w:val="1E293B"/>
                <w:sz w:val="18"/>
              </w:rPr>
              <w:t>OpenFDA</w:t>
            </w:r>
          </w:p>
        </w:tc>
        <w:tc>
          <w:tcPr>
            <w:tcW w:type="dxa" w:w="2880"/>
            <w:shd w:fill="FFFFFF"/>
          </w:tcPr>
          <w:p>
            <w:pPr>
              <w:spacing w:before="60" w:after="60"/>
              <w:jc w:val="left"/>
            </w:pPr>
            <w:r>
              <w:rPr>
                <w:rFonts w:ascii="Segoe UI" w:hAnsi="Segoe UI"/>
                <w:color w:val="1E293B"/>
                <w:sz w:val="18"/>
              </w:rPr>
              <w:t>HTTPS REST API (api.fda.gov/drug/label.json)</w:t>
            </w:r>
          </w:p>
        </w:tc>
        <w:tc>
          <w:tcPr>
            <w:tcW w:type="dxa" w:w="2736"/>
            <w:shd w:fill="FFFFFF"/>
          </w:tcPr>
          <w:p>
            <w:pPr>
              <w:spacing w:before="60" w:after="60"/>
              <w:jc w:val="left"/>
            </w:pPr>
            <w:r>
              <w:rPr>
                <w:rFonts w:ascii="Segoe UI" w:hAnsi="Segoe UI"/>
                <w:color w:val="1E293B"/>
                <w:sz w:val="18"/>
              </w:rPr>
              <w:t>Drug interactions, boxed warnings, adverse reactions.</w:t>
            </w:r>
          </w:p>
        </w:tc>
        <w:tc>
          <w:tcPr>
            <w:tcW w:type="dxa" w:w="1872"/>
            <w:shd w:fill="FFFFFF"/>
          </w:tcPr>
          <w:p>
            <w:pPr>
              <w:spacing w:before="60" w:after="60"/>
              <w:jc w:val="left"/>
            </w:pPr>
            <w:r>
              <w:rPr>
                <w:rFonts w:ascii="Segoe UI" w:hAnsi="Segoe UI"/>
                <w:color w:val="1E293B"/>
                <w:sz w:val="18"/>
              </w:rPr>
              <w:t>UNVERIFIED provenance fallback flag.</w:t>
            </w:r>
          </w:p>
        </w:tc>
      </w:tr>
      <w:tr>
        <w:tc>
          <w:tcPr>
            <w:tcW w:type="dxa" w:w="1872"/>
            <w:shd w:fill="F8FAFC"/>
          </w:tcPr>
          <w:p>
            <w:pPr>
              <w:spacing w:before="60" w:after="60"/>
              <w:jc w:val="left"/>
            </w:pPr>
            <w:r>
              <w:rPr>
                <w:rFonts w:ascii="Segoe UI" w:hAnsi="Segoe UI"/>
                <w:color w:val="1E293B"/>
                <w:sz w:val="18"/>
              </w:rPr>
              <w:t>WHO ICD-11</w:t>
            </w:r>
          </w:p>
        </w:tc>
        <w:tc>
          <w:tcPr>
            <w:tcW w:type="dxa" w:w="2880"/>
            <w:shd w:fill="F8FAFC"/>
          </w:tcPr>
          <w:p>
            <w:pPr>
              <w:spacing w:before="60" w:after="60"/>
              <w:jc w:val="left"/>
            </w:pPr>
            <w:r>
              <w:rPr>
                <w:rFonts w:ascii="Segoe UI" w:hAnsi="Segoe UI"/>
                <w:color w:val="1E293B"/>
                <w:sz w:val="18"/>
              </w:rPr>
              <w:t>OAuth2 / REST API (id.who.int/icd/release/11)</w:t>
            </w:r>
          </w:p>
        </w:tc>
        <w:tc>
          <w:tcPr>
            <w:tcW w:type="dxa" w:w="2736"/>
            <w:shd w:fill="F8FAFC"/>
          </w:tcPr>
          <w:p>
            <w:pPr>
              <w:spacing w:before="60" w:after="60"/>
              <w:jc w:val="left"/>
            </w:pPr>
            <w:r>
              <w:rPr>
                <w:rFonts w:ascii="Segoe UI" w:hAnsi="Segoe UI"/>
                <w:color w:val="1E293B"/>
                <w:sz w:val="18"/>
              </w:rPr>
              <w:t>Global disease ontology entities, clinical coding.</w:t>
            </w:r>
          </w:p>
        </w:tc>
        <w:tc>
          <w:tcPr>
            <w:tcW w:type="dxa" w:w="1872"/>
            <w:shd w:fill="F8FAFC"/>
          </w:tcPr>
          <w:p>
            <w:pPr>
              <w:spacing w:before="60" w:after="60"/>
              <w:jc w:val="left"/>
            </w:pPr>
            <w:r>
              <w:rPr>
                <w:rFonts w:ascii="Segoe UI" w:hAnsi="Segoe UI"/>
                <w:color w:val="1E293B"/>
                <w:sz w:val="18"/>
              </w:rPr>
              <w:t>Local ICD-11 aligned disease dictionary.</w:t>
            </w:r>
          </w:p>
        </w:tc>
      </w:tr>
      <w:tr>
        <w:tc>
          <w:tcPr>
            <w:tcW w:type="dxa" w:w="1872"/>
            <w:shd w:fill="FFFFFF"/>
          </w:tcPr>
          <w:p>
            <w:pPr>
              <w:spacing w:before="60" w:after="60"/>
              <w:jc w:val="left"/>
            </w:pPr>
            <w:r>
              <w:rPr>
                <w:rFonts w:ascii="Segoe UI" w:hAnsi="Segoe UI"/>
                <w:color w:val="1E293B"/>
                <w:sz w:val="18"/>
              </w:rPr>
              <w:t>NCBO BioPortal</w:t>
            </w:r>
          </w:p>
        </w:tc>
        <w:tc>
          <w:tcPr>
            <w:tcW w:type="dxa" w:w="2880"/>
            <w:shd w:fill="FFFFFF"/>
          </w:tcPr>
          <w:p>
            <w:pPr>
              <w:spacing w:before="60" w:after="60"/>
              <w:jc w:val="left"/>
            </w:pPr>
            <w:r>
              <w:rPr>
                <w:rFonts w:ascii="Segoe UI" w:hAnsi="Segoe UI"/>
                <w:color w:val="1E293B"/>
                <w:sz w:val="18"/>
              </w:rPr>
              <w:t>REST API (data.bioontology.org/annotator)</w:t>
            </w:r>
          </w:p>
        </w:tc>
        <w:tc>
          <w:tcPr>
            <w:tcW w:type="dxa" w:w="2736"/>
            <w:shd w:fill="FFFFFF"/>
          </w:tcPr>
          <w:p>
            <w:pPr>
              <w:spacing w:before="60" w:after="60"/>
              <w:jc w:val="left"/>
            </w:pPr>
            <w:r>
              <w:rPr>
                <w:rFonts w:ascii="Segoe UI" w:hAnsi="Segoe UI"/>
                <w:color w:val="1E293B"/>
                <w:sz w:val="18"/>
              </w:rPr>
              <w:t>SNOMED-CT, LOINC, and MeSH medical concept mapping.</w:t>
            </w:r>
          </w:p>
        </w:tc>
        <w:tc>
          <w:tcPr>
            <w:tcW w:type="dxa" w:w="1872"/>
            <w:shd w:fill="FFFFFF"/>
          </w:tcPr>
          <w:p>
            <w:pPr>
              <w:spacing w:before="60" w:after="60"/>
              <w:jc w:val="left"/>
            </w:pPr>
            <w:r>
              <w:rPr>
                <w:rFonts w:ascii="Segoe UI" w:hAnsi="Segoe UI"/>
                <w:color w:val="1E293B"/>
                <w:sz w:val="18"/>
              </w:rPr>
              <w:t>Local canonical concepts mapping.</w:t>
            </w:r>
          </w:p>
        </w:tc>
      </w:tr>
      <w:tr>
        <w:tc>
          <w:tcPr>
            <w:tcW w:type="dxa" w:w="1872"/>
            <w:shd w:fill="F8FAFC"/>
          </w:tcPr>
          <w:p>
            <w:pPr>
              <w:spacing w:before="60" w:after="60"/>
              <w:jc w:val="left"/>
            </w:pPr>
            <w:r>
              <w:rPr>
                <w:rFonts w:ascii="Segoe UI" w:hAnsi="Segoe UI"/>
                <w:color w:val="1E293B"/>
                <w:sz w:val="18"/>
              </w:rPr>
              <w:t>OpenStreetMap / Overpass</w:t>
            </w:r>
          </w:p>
        </w:tc>
        <w:tc>
          <w:tcPr>
            <w:tcW w:type="dxa" w:w="2880"/>
            <w:shd w:fill="F8FAFC"/>
          </w:tcPr>
          <w:p>
            <w:pPr>
              <w:spacing w:before="60" w:after="60"/>
              <w:jc w:val="left"/>
            </w:pPr>
            <w:r>
              <w:rPr>
                <w:rFonts w:ascii="Segoe UI" w:hAnsi="Segoe UI"/>
                <w:color w:val="1E293B"/>
                <w:sz w:val="18"/>
              </w:rPr>
              <w:t>HTTPS POST (overpass-api.de/api/interpreter)</w:t>
            </w:r>
          </w:p>
        </w:tc>
        <w:tc>
          <w:tcPr>
            <w:tcW w:type="dxa" w:w="2736"/>
            <w:shd w:fill="F8FAFC"/>
          </w:tcPr>
          <w:p>
            <w:pPr>
              <w:spacing w:before="60" w:after="60"/>
              <w:jc w:val="left"/>
            </w:pPr>
            <w:r>
              <w:rPr>
                <w:rFonts w:ascii="Segoe UI" w:hAnsi="Segoe UI"/>
                <w:color w:val="1E293B"/>
                <w:sz w:val="18"/>
              </w:rPr>
              <w:t>Overpass QL queries for 24x7 hospitals, clinics, trauma centers.</w:t>
            </w:r>
          </w:p>
        </w:tc>
        <w:tc>
          <w:tcPr>
            <w:tcW w:type="dxa" w:w="1872"/>
            <w:shd w:fill="F8FAFC"/>
          </w:tcPr>
          <w:p>
            <w:pPr>
              <w:spacing w:before="60" w:after="60"/>
              <w:jc w:val="left"/>
            </w:pPr>
            <w:r>
              <w:rPr>
                <w:rFonts w:ascii="Segoe UI" w:hAnsi="Segoe UI"/>
                <w:color w:val="1E293B"/>
                <w:sz w:val="18"/>
              </w:rPr>
              <w:t>Google Maps Platform Geocoding/Places API.</w:t>
            </w:r>
          </w:p>
        </w:tc>
      </w:tr>
      <w:tr>
        <w:tc>
          <w:tcPr>
            <w:tcW w:type="dxa" w:w="1872"/>
            <w:shd w:fill="FFFFFF"/>
          </w:tcPr>
          <w:p>
            <w:pPr>
              <w:spacing w:before="60" w:after="60"/>
              <w:jc w:val="left"/>
            </w:pPr>
            <w:r>
              <w:rPr>
                <w:rFonts w:ascii="Segoe UI" w:hAnsi="Segoe UI"/>
                <w:color w:val="1E293B"/>
                <w:sz w:val="18"/>
              </w:rPr>
              <w:t>Google Cloud Speech</w:t>
            </w:r>
          </w:p>
        </w:tc>
        <w:tc>
          <w:tcPr>
            <w:tcW w:type="dxa" w:w="2880"/>
            <w:shd w:fill="FFFFFF"/>
          </w:tcPr>
          <w:p>
            <w:pPr>
              <w:spacing w:before="60" w:after="60"/>
              <w:jc w:val="left"/>
            </w:pPr>
            <w:r>
              <w:rPr>
                <w:rFonts w:ascii="Segoe UI" w:hAnsi="Segoe UI"/>
                <w:color w:val="1E293B"/>
                <w:sz w:val="18"/>
              </w:rPr>
              <w:t>gRPC / Python SDK (speech.googleapis.com)</w:t>
            </w:r>
          </w:p>
        </w:tc>
        <w:tc>
          <w:tcPr>
            <w:tcW w:type="dxa" w:w="2736"/>
            <w:shd w:fill="FFFFFF"/>
          </w:tcPr>
          <w:p>
            <w:pPr>
              <w:spacing w:before="60" w:after="60"/>
              <w:jc w:val="left"/>
            </w:pPr>
            <w:r>
              <w:rPr>
                <w:rFonts w:ascii="Segoe UI" w:hAnsi="Segoe UI"/>
                <w:color w:val="1E293B"/>
                <w:sz w:val="18"/>
              </w:rPr>
              <w:t>Real-time speech-to-text audio streaming across Indic dialects.</w:t>
            </w:r>
          </w:p>
        </w:tc>
        <w:tc>
          <w:tcPr>
            <w:tcW w:type="dxa" w:w="1872"/>
            <w:shd w:fill="FFFFFF"/>
          </w:tcPr>
          <w:p>
            <w:pPr>
              <w:spacing w:before="60" w:after="60"/>
              <w:jc w:val="left"/>
            </w:pPr>
            <w:r>
              <w:rPr>
                <w:rFonts w:ascii="Segoe UI" w:hAnsi="Segoe UI"/>
                <w:color w:val="1E293B"/>
                <w:sz w:val="18"/>
              </w:rPr>
              <w:t>Local SpeechRecognition / gTTS.</w:t>
            </w:r>
          </w:p>
        </w:tc>
      </w:tr>
    </w:tbl>
    <w:p>
      <w:pPr>
        <w:spacing w:before="120" w:after="80"/>
      </w:pPr>
    </w:p>
    <w:p>
      <w:pPr>
        <w:keepNext/>
        <w:spacing w:before="360" w:after="120"/>
      </w:pPr>
      <w:r>
        <w:rPr>
          <w:rFonts w:ascii="Segoe UI" w:hAnsi="Segoe UI"/>
          <w:b/>
          <w:color w:val="0A2540"/>
          <w:sz w:val="32"/>
        </w:rPr>
        <w:t>6. Data Flow &amp; Processing Contracts</w:t>
      </w:r>
    </w:p>
    <w:p>
      <w:pPr>
        <w:spacing w:before="0" w:after="80" w:line="276" w:lineRule="auto"/>
      </w:pPr>
      <w:r>
        <w:rPr>
          <w:rFonts w:ascii="Segoe UI" w:hAnsi="Segoe UI"/>
          <w:i w:val="0"/>
          <w:color w:val="1E293B"/>
          <w:sz w:val="20"/>
        </w:rPr>
        <w:t>Data flowing through the clinical pipeline adheres to strict evidence channel separation:</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2" w:space="0" w:color="0077B6"/>
              <w:bottom w:val="single" w:sz="6" w:space="0" w:color="CBD5E1"/>
              <w:right w:val="single" w:sz="6" w:space="0" w:color="CBD5E1"/>
            </w:tcBorders>
          </w:tcPr>
          <w:p>
            <w:pPr>
              <w:spacing w:before="80" w:after="80"/>
              <w:ind w:left="144"/>
            </w:pPr>
            <w:r>
              <w:rPr>
                <w:rFonts w:ascii="Consolas" w:hAnsi="Consolas"/>
                <w:color w:val="1E293B"/>
                <w:sz w:val="17"/>
              </w:rPr>
              <w:t>[User Input: Voice / Text / Image]</w:t>
              <w:br/>
              <w:t xml:space="preserve">       │</w:t>
              <w:br/>
              <w:t xml:space="preserve">       ▼</w:t>
              <w:br/>
              <w:t>[ai/ocr/text_extractor.py &amp; multilingual_symptom_extractor.py]</w:t>
              <w:br/>
              <w:t xml:space="preserve">       │ (Extracts: patient_raw_tokens, patient_canonical_tokens)</w:t>
              <w:br/>
              <w:t xml:space="preserve">       ▼</w:t>
              <w:br/>
              <w:t>[Evidence Isolation Gate: pipeline_v3]</w:t>
              <w:br/>
              <w:t xml:space="preserve">       │ (Purges external candidate contamination; Evaluates Constituent Red Flags)</w:t>
              <w:br/>
              <w:t xml:space="preserve">       ▼</w:t>
              <w:br/>
              <w:t>[ai/disease_prediction/predict.py]</w:t>
              <w:br/>
              <w:t xml:space="preserve">       │ (Feature Vectorizer: 280 dims -&gt; RandomForestClassifier: 50 Trees)</w:t>
              <w:br/>
              <w:t xml:space="preserve">       ▼</w:t>
              <w:br/>
              <w:t>[Clinical Knowledge Graph &amp; ICD-11 Validator]</w:t>
              <w:br/>
              <w:t xml:space="preserve">       │ (Requires genuine patient evidence overlap before candidate promotion)</w:t>
              <w:br/>
              <w:t xml:space="preserve">       ▼</w:t>
              <w:br/>
              <w:t>[Truthful Care &amp; Formulary Gate: care_recommendations.py]</w:t>
              <w:br/>
              <w:t xml:space="preserve">       │ (OpenFDA/DailyMed Verification; Duration-gated diagnostic testing)</w:t>
              <w:br/>
              <w:t xml:space="preserve">       ▼</w:t>
              <w:br/>
              <w:t>[Client Presentation: Streamlit Dashboard / ReportLab Clinical PDF]</w:t>
            </w:r>
          </w:p>
        </w:tc>
      </w:tr>
    </w:tbl>
    <w:p>
      <w:pPr>
        <w:spacing w:before="8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DocMindX AI Platform | Enterprise Clinical Health Intelligence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DocMindX AI — Software Requirements Specification [EN]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