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Segoe UI" w:hAnsi="Segoe UI"/>
          <w:b/>
          <w:color w:val="0A2540"/>
          <w:sz w:val="48"/>
        </w:rPr>
        <w:t>DocMindX AI — UI/UX Design &amp; Experience Document</w:t>
      </w:r>
    </w:p>
    <w:p>
      <w:pPr>
        <w:spacing w:before="0" w:after="240"/>
        <w:jc w:val="left"/>
      </w:pPr>
      <w:r>
        <w:rPr>
          <w:rFonts w:ascii="Segoe UI" w:hAnsi="Segoe UI"/>
          <w:i/>
          <w:color w:val="0077B6"/>
          <w:sz w:val="24"/>
        </w:rPr>
        <w:t>Design System, Visual Tokens, Clinical Usability &amp; User Interaction Journeys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8"/>
              </w:rPr>
              <w:t>Project</w:t>
            </w:r>
          </w:p>
        </w:tc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DocMindX AI v2.0</w:t>
            </w:r>
          </w:p>
        </w:tc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8"/>
              </w:rPr>
              <w:t>Author</w:t>
            </w:r>
          </w:p>
        </w:tc>
        <w:tc>
          <w:tcPr>
            <w:tcW w:type="dxa" w:w="244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Daksh Vasani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8"/>
              </w:rPr>
              <w:t>Track</w:t>
            </w:r>
          </w:p>
        </w:tc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Smart Health &amp; Supply Chain</w:t>
            </w:r>
          </w:p>
        </w:tc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8"/>
              </w:rPr>
              <w:t>Status</w:t>
            </w:r>
          </w:p>
        </w:tc>
        <w:tc>
          <w:tcPr>
            <w:tcW w:type="dxa" w:w="244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Production Ready / Verified</w:t>
            </w:r>
          </w:p>
        </w:tc>
      </w:tr>
    </w:tbl>
    <w:p>
      <w:pPr>
        <w:spacing w:before="240" w:after="16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1. UI/UX Design Philosophy &amp; Clinical Human Factors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Medical user interfaces bear a direct impact on patient safety, diagnostic comprehension, and clinical decision-making. In a healthcare crisis or emergency triage scenario, confusing visual hierarchies, low-contrast text, ambiguous icons, or frivolous emojis can cause severe misinterpretation.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Borders>
              <w:top w:val="none"/>
              <w:left w:val="single" w:sz="36" w:space="0" w:color="0077B6"/>
              <w:bottom w:val="none"/>
              <w:right w:val="none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Segoe UI" w:hAnsi="Segoe UI"/>
                <w:b/>
                <w:color w:val="0077B6"/>
                <w:sz w:val="21"/>
              </w:rPr>
              <w:t>[Clinical Usability Standard]</w:t>
              <w:br/>
            </w:r>
            <w:r>
              <w:rPr>
                <w:rFonts w:ascii="Segoe UI" w:hAnsi="Segoe UI"/>
                <w:color w:val="1E293B"/>
                <w:sz w:val="19"/>
              </w:rPr>
              <w:t>The Clinical Clarity Standard: DocMindX AI strictly adheres to the 'Enterprise Clinical Red Edition' design system. Medical results are presented with high-contrast visual tokens, unambiguous severity badges, zero emojis in clinical triage cards, and accessible typography.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1.1 Core Design Pillars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Zero Emojis in Clinical Triage:</w:t>
      </w:r>
      <w:r>
        <w:rPr>
          <w:rFonts w:ascii="Segoe UI" w:hAnsi="Segoe UI"/>
          <w:color w:val="1E293B"/>
          <w:sz w:val="20"/>
        </w:rPr>
        <w:t xml:space="preserve"> Standard icons and emojis can trivialize severe diagnoses and trigger erratic screen-reader behavior in Indic languages. The clinical engine renders clean SVG badges with explicit text labels.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Native Trilingual Equality:</w:t>
      </w:r>
      <w:r>
        <w:rPr>
          <w:rFonts w:ascii="Segoe UI" w:hAnsi="Segoe UI"/>
          <w:color w:val="1E293B"/>
          <w:sz w:val="20"/>
        </w:rPr>
        <w:t xml:space="preserve"> Full semantic equivalence across English, Hindi (हिंदी), and Gujarati (ગુજરાતી), maintaining identical button layouts and typography line heights.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Accessible High Contrast:</w:t>
      </w:r>
      <w:r>
        <w:rPr>
          <w:rFonts w:ascii="Segoe UI" w:hAnsi="Segoe UI"/>
          <w:color w:val="1E293B"/>
          <w:sz w:val="20"/>
        </w:rPr>
        <w:t xml:space="preserve"> All text, buttons, and alert callouts satisfy WCAG 2.1 Level AA standards with a minimum contrast ratio of 4.5:1 (reaching 7:1 on critical alert cards).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Cognitive De-escalation:</w:t>
      </w:r>
      <w:r>
        <w:rPr>
          <w:rFonts w:ascii="Segoe UI" w:hAnsi="Segoe UI"/>
          <w:color w:val="1E293B"/>
          <w:sz w:val="20"/>
        </w:rPr>
        <w:t xml:space="preserve"> Progressive disclosure ensures patients are not overwhelmed: High-level triage summaries appear first, followed by collapsible deep dives.</w:t>
      </w: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2. Design System &amp; Color Palette Tokens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The DocMindX AI design system is defined in 'config/theme.py' using curated color tokens: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0A2540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Token Name</w:t>
            </w:r>
          </w:p>
        </w:tc>
        <w:tc>
          <w:tcPr>
            <w:tcW w:type="dxa" w:w="1728"/>
            <w:shd w:fill="0A2540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Hex Code</w:t>
            </w:r>
          </w:p>
        </w:tc>
        <w:tc>
          <w:tcPr>
            <w:tcW w:type="dxa" w:w="3456"/>
            <w:shd w:fill="0A2540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Clinical / UI Function</w:t>
            </w:r>
          </w:p>
        </w:tc>
        <w:tc>
          <w:tcPr>
            <w:tcW w:type="dxa" w:w="1872"/>
            <w:shd w:fill="0A2540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Contrast on Light/Dark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--clinical-primary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#0077B6</w:t>
            </w:r>
          </w:p>
        </w:tc>
        <w:tc>
          <w:tcPr>
            <w:tcW w:type="dxa" w:w="345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buttons, active tab indicators, major headings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6.2:1 (White)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--clinical-navy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#0A2540</w:t>
            </w:r>
          </w:p>
        </w:tc>
        <w:tc>
          <w:tcPr>
            <w:tcW w:type="dxa" w:w="345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App header background, primary table headers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14.8:1 (White)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--alert-danger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#C1121F</w:t>
            </w:r>
          </w:p>
        </w:tc>
        <w:tc>
          <w:tcPr>
            <w:tcW w:type="dxa" w:w="345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Red Flag emergency banners, 108 emergency buttons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7.4:1 (White)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--alert-warning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#F77F00</w:t>
            </w:r>
          </w:p>
        </w:tc>
        <w:tc>
          <w:tcPr>
            <w:tcW w:type="dxa" w:w="345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Moderate urgency triage cards, DOIR &lt; 7 warnings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4.8:1 (Dark Slate)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--alert-success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#047857</w:t>
            </w:r>
          </w:p>
        </w:tc>
        <w:tc>
          <w:tcPr>
            <w:tcW w:type="dxa" w:w="345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Routine low-acuity indicators, verified medicine badge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5.1:1 (White)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--surface-card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#FFFFFF / #112240</w:t>
            </w:r>
          </w:p>
        </w:tc>
        <w:tc>
          <w:tcPr>
            <w:tcW w:type="dxa" w:w="345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Triage cards, modal dialogs, elevated containers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N/A (Card Background)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--text-primary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#1E293B / #F8FAFC</w:t>
            </w:r>
          </w:p>
        </w:tc>
        <w:tc>
          <w:tcPr>
            <w:tcW w:type="dxa" w:w="345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Primary readable body text and paragraph labels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12.5:1 (Background)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--border-subtle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#E2E8F0 / #1E293B</w:t>
            </w:r>
          </w:p>
        </w:tc>
        <w:tc>
          <w:tcPr>
            <w:tcW w:type="dxa" w:w="345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Dividers, table outlines, input field borders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Border Token</w:t>
            </w:r>
          </w:p>
        </w:tc>
      </w:tr>
    </w:tbl>
    <w:p>
      <w:pPr>
        <w:spacing w:before="12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2.2 Typography Scale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Font Family:</w:t>
      </w:r>
      <w:r>
        <w:rPr>
          <w:rFonts w:ascii="Segoe UI" w:hAnsi="Segoe UI"/>
          <w:color w:val="1E293B"/>
          <w:sz w:val="20"/>
        </w:rPr>
        <w:t xml:space="preserve"> Clean sans-serif system font stack: 'Segoe UI', 'Inter', -apple-system, sans-serif. In Indic languages, system renders Nirmala UI, Mangal, and Shruti for flawless conjunct glyphs.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Hierarchy:</w:t>
      </w:r>
      <w:r>
        <w:rPr>
          <w:rFonts w:ascii="Segoe UI" w:hAnsi="Segoe UI"/>
          <w:color w:val="1E293B"/>
          <w:sz w:val="20"/>
        </w:rPr>
        <w:t xml:space="preserve"> Display Title: 28-32px (Bold) | H1 Section: 22-24px (Bold) | H2 Subsection: 18-20px (Semi-Bold) | Body: 14-16px (Regular, 1.5 line-height) | Microcopy: 12px (Muted).</w:t>
      </w: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3. Layout Wireframes &amp; Component Architecture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3.1 Persistent Global Navigation Bar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The top navigation bar replaces standard Streamlit sidebars, providing an intuitive application header: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[DocMindX Logo]  [Triage]  [Report OCR]  [Nearby Radar]  [Records]  [Command] │ [Lang: HI▼] [☀/🌙] [Auth]│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3.2 Panel 1: AI Health &amp; Symptom Analyzer Wireframe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┌─────────────────────────────────────┬──────────────────────────────────────────┐</w:t>
              <w:br/>
              <w:t>│ LEFT COLUMN: PATIENT INPUTS         │ RIGHT COLUMN: CLINICAL TRIAGE RESULTS    │</w:t>
              <w:br/>
              <w:t>├─────────────────────────────────────┼──────────────────────────────────────────┤</w:t>
              <w:br/>
              <w:t>│ • Demographic Selectors (Age, Sex)  │ 🚨 EMERGENCY RED FLAG BANNER (If Acute)   │</w:t>
              <w:br/>
              <w:t>│ • Duration Slider (Days / Weeks)    │   [108 Direct Call] [Nearest ICU Route]  │</w:t>
              <w:br/>
              <w:t>│ • Free-text Symptom Entry Box       │ ──────────────────────────────────────── │</w:t>
              <w:br/>
              <w:t>│ • [🎙️ Voice Audio Input Button]     │ 🩺 DIFFERENTIAL DIAGNOSIS CARD (Top-3)   │</w:t>
              <w:br/>
              <w:t>│ • Selected Symptom Tags / Badges    │   1. Condition Name (ICD-11 Code) - 84%  │</w:t>
              <w:br/>
              <w:t>│ • Prior Medical Conditions Selector │   2. Secondary Alternative - 12%         │</w:t>
              <w:br/>
              <w:t>│ • [RUN CLINICAL ASSESSMENT BUTTON]  │ ──────────────────────────────────────── │</w:t>
              <w:br/>
              <w:t>│                                     │ 🥗 ICMR-NIN DIETARY RECOVERY ADVISORY    │</w:t>
              <w:br/>
              <w:t>│                                     │ 💊 VERIFIED MEDICATION FORMULARY (FDA)   │</w:t>
              <w:br/>
              <w:t>│                                     │ 🗺️ NEARBY HOSPITAL GPS RADAR &amp; DISTANCE  │</w:t>
              <w:br/>
              <w:t>└─────────────────────────────────────┴──────────────────────────────────────────┘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3.3 Panel 2: Medical Report &amp; Prescription Scanner Wireframe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[📁 DRAG &amp; DROP PRESCRIPTION OR BLOOD REPORT (PNG, JPG, PDF)]                           │</w:t>
              <w:br/>
              <w:t>├─────────────────────────────────────┬──────────────────────────────────────────────────┤</w:t>
              <w:br/>
              <w:t>│ PREVIEW PANEL (Uploaded Document)   │ STRUCTURED EXTRACTION TABS:                      │</w:t>
              <w:br/>
              <w:t>│                                     │ [1. Digitized Prescriptions] [2. Blood CBC Values]│</w:t>
              <w:br/>
              <w:t>│ • High-resolution image canvas      │ • Paracetamol 650mg | 1 Tab TID | After food     │</w:t>
              <w:br/>
              <w:t>│ • Grayscale / Contrast Zoom toggle  │ • Amoxicillin 500mg | 1 Cap BD  | 5 Days         │</w:t>
              <w:br/>
              <w:t>│                                     │ ──────────────────────────────────────────────── │</w:t>
              <w:br/>
              <w:t>│                                     │ 🔬 LAYMAN COMPREHENSIVE BREAKDOWN:               │</w:t>
              <w:br/>
              <w:t>│                                     │ • Hemoglobin: 11.2 g/dL (Mildly Low - Anemia)    │</w:t>
              <w:br/>
              <w:t>│                                     │ • What this means in simple words (No panic)     │</w:t>
              <w:br/>
              <w:t>└─────────────────────────────────────┴──────────────────────────────────────────────────┘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3.4 Panel 5: National Command Center Wireframe (Track 03)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NATIONAL HEALTH LOGISTICS TELEMETRY — 225+ PHC FACILITIES ACROSS 36 STATES/UTS          │</w:t>
              <w:br/>
              <w:t>├───────────────────┬───────────────────┬───────────────────┬────────────────────────────┤</w:t>
              <w:br/>
              <w:t>│ Total Beds: 8,420 │ Active PHCs: 225  │ Stockouts: 3 PHCs │ Demand Forecast WAPE: 6.53%│</w:t>
              <w:br/>
              <w:t>├───────────────────┴───────────────────┴───────────────────┴────────────────────────────┤</w:t>
              <w:br/>
              <w:t>│ [STATE FILTER: All States ▼]  [EPIDEMIC STRESS SIMULATOR: Monsoon Dengue Outbreak (250%)]│</w:t>
              <w:br/>
              <w:t>├───────────────────────────────────────┬────────────────────────────────────────────────┤</w:t>
              <w:br/>
              <w:t>│ GEOGRAPHIC TELEMETRY HEATMAP (Folium) │ AUTOMATED TWO-STAGE REDISTRIBUTION SOLVER      │</w:t>
              <w:br/>
              <w:t>│ • Green Pins: Adequate DOIR (&gt;14 days)│ • Source: District Hospital Surat (Surplus)    │</w:t>
              <w:br/>
              <w:t>│ • Orange Pins: Warning DOIR (3-7 days)│ • Destination: PHC Mandvi (Deficit - 2 Days)   │</w:t>
              <w:br/>
              <w:t>│ • Red Pins: Critical Stockout (&lt;3 d)  │ • Transfer: 2,500 IV Fluids, 10,000 Paracetamol│</w:t>
              <w:br/>
              <w:t>│                                       │ • [GENERATE OFFICIAL TRANSFER MANIFEST PDF]    │</w:t>
              <w:br/>
              <w:t>└───────────────────────────────────────┴────────────────────────────────────────────────┘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4. User Journeys &amp; Interaction Flows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4.1 Journey 1: Acute Citizen Symptom Assessment to Emergency Referral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Step 1 [Entry &amp; Language]:</w:t>
      </w:r>
      <w:r>
        <w:rPr>
          <w:rFonts w:ascii="Segoe UI" w:hAnsi="Segoe UI"/>
          <w:color w:val="1E293B"/>
          <w:sz w:val="20"/>
        </w:rPr>
        <w:t xml:space="preserve"> Citizen opens application on mobile; chooses Hindi ('हिंदी') from top navigation dropdown.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Step 2 [Input Modality]:</w:t>
      </w:r>
      <w:r>
        <w:rPr>
          <w:rFonts w:ascii="Segoe UI" w:hAnsi="Segoe UI"/>
          <w:color w:val="1E293B"/>
          <w:sz w:val="20"/>
        </w:rPr>
        <w:t xml:space="preserve"> Citizen taps the microphone button and states: '3 din se seene me tej dard hai aur ulti ho rahi hai'. Voice audio is streamed and transcribed instantaneously.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Step 3 [Token Confirmation]:</w:t>
      </w:r>
      <w:r>
        <w:rPr>
          <w:rFonts w:ascii="Segoe UI" w:hAnsi="Segoe UI"/>
          <w:color w:val="1E293B"/>
          <w:sz w:val="20"/>
        </w:rPr>
        <w:t xml:space="preserve"> System highlights recognized symptom chips: [Chest Pain: Severe], [Persistent Vomiting], [Duration: 3 Days].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Step 4 [Triage Execution]:</w:t>
      </w:r>
      <w:r>
        <w:rPr>
          <w:rFonts w:ascii="Segoe UI" w:hAnsi="Segoe UI"/>
          <w:color w:val="1E293B"/>
          <w:sz w:val="20"/>
        </w:rPr>
        <w:t xml:space="preserve"> User clicks 'Run Assessment'. Within 1.8 seconds, Pipeline v3 triggers Red Flag RF002 (Acute Coronary Syndrome suspicion).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Step 5 [Actionable Resolution]:</w:t>
      </w:r>
      <w:r>
        <w:rPr>
          <w:rFonts w:ascii="Segoe UI" w:hAnsi="Segoe UI"/>
          <w:color w:val="1E293B"/>
          <w:sz w:val="20"/>
        </w:rPr>
        <w:t xml:space="preserve"> Screen updates with a crimson emergency banner, direct 108 ambulance dialer, and a turn-by-turn route map to the nearest 24x7 Cardiac Emergency Hospital.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4.2 Journey 2: Handwritten Prescription Upload to Patient Empowerment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Step 1 [Capture]:</w:t>
      </w:r>
      <w:r>
        <w:rPr>
          <w:rFonts w:ascii="Segoe UI" w:hAnsi="Segoe UI"/>
          <w:color w:val="1E293B"/>
          <w:sz w:val="20"/>
        </w:rPr>
        <w:t xml:space="preserve"> Patient receives a handwritten prescription from a local clinic and takes a smartphone photo.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Step 2 [Digitization]:</w:t>
      </w:r>
      <w:r>
        <w:rPr>
          <w:rFonts w:ascii="Segoe UI" w:hAnsi="Segoe UI"/>
          <w:color w:val="1E293B"/>
          <w:sz w:val="20"/>
        </w:rPr>
        <w:t xml:space="preserve"> Uploads image into Panel 2. OpenCV normalizes contrast and Gemini Vision extracts active molecules and schedules.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Step 3 [Visual Verification]:</w:t>
      </w:r>
      <w:r>
        <w:rPr>
          <w:rFonts w:ascii="Segoe UI" w:hAnsi="Segoe UI"/>
          <w:color w:val="1E293B"/>
          <w:sz w:val="20"/>
        </w:rPr>
        <w:t xml:space="preserve"> Screen renders clean medicine cards cross-referenced with NIH DailyMed photos of verified blister packs.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Step 4 [Comprehension]:</w:t>
      </w:r>
      <w:r>
        <w:rPr>
          <w:rFonts w:ascii="Segoe UI" w:hAnsi="Segoe UI"/>
          <w:color w:val="1E293B"/>
          <w:sz w:val="20"/>
        </w:rPr>
        <w:t xml:space="preserve"> Patient taps 'Explain in Simple Hindi'. AI Copilot explains food interactions (e.g. 'Take this antibiotic after meals with plenty of water').</w:t>
      </w: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5. Micro-Interactions &amp; Responsive Mobile Adaptations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Voice Mic Pulse Animation:</w:t>
      </w:r>
      <w:r>
        <w:rPr>
          <w:rFonts w:ascii="Segoe UI" w:hAnsi="Segoe UI"/>
          <w:color w:val="1E293B"/>
          <w:sz w:val="20"/>
        </w:rPr>
        <w:t xml:space="preserve"> When audio recording starts, the microphone button pulses with a subtle cerulean glow, indicating active recording.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Floating AI Copilot Drawer:</w:t>
      </w:r>
      <w:r>
        <w:rPr>
          <w:rFonts w:ascii="Segoe UI" w:hAnsi="Segoe UI"/>
          <w:color w:val="1E293B"/>
          <w:sz w:val="20"/>
        </w:rPr>
        <w:t xml:space="preserve"> The floating copilot button in the bottom-right corner toggles an accessible drawer without obscuring primary triage results.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Responsive Breakpoints:</w:t>
      </w:r>
      <w:r>
        <w:rPr>
          <w:rFonts w:ascii="Segoe UI" w:hAnsi="Segoe UI"/>
          <w:color w:val="1E293B"/>
          <w:sz w:val="20"/>
        </w:rPr>
        <w:t xml:space="preserve"> On mobile screens (&lt;768px), 2-column layouts seamlessly collapse into single-column vertical stacks, ensuring tap targets exceed 48x48px.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6"/>
      </w:rPr>
      <w:t>DocMindX AI Platform | Enterprise Clinical Health Intelligence | 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DocMindX AI — UI/UX Design Document [EN]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