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Segoe UI" w:hAnsi="Segoe UI"/>
          <w:b/>
          <w:color w:val="0A2540"/>
          <w:sz w:val="48"/>
        </w:rPr>
        <w:t>DocMindX AI — Product Requirements Document (PRD)</w:t>
      </w:r>
    </w:p>
    <w:p>
      <w:pPr>
        <w:spacing w:before="0" w:after="240"/>
        <w:jc w:val="left"/>
      </w:pPr>
      <w:r>
        <w:rPr>
          <w:rFonts w:ascii="Segoe UI" w:hAnsi="Segoe UI"/>
          <w:i/>
          <w:color w:val="0077B6"/>
          <w:sz w:val="24"/>
        </w:rPr>
        <w:t>Clinical Intelligence, Multimodal Medical OCR &amp; National Health Command Platform</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016"/>
            <w:shd w:fill="F1F5F9"/>
          </w:tcPr>
          <w:p>
            <w:pPr>
              <w:spacing w:before="40" w:after="40"/>
            </w:pPr>
            <w:r>
              <w:rPr>
                <w:rFonts w:ascii="Segoe UI" w:hAnsi="Segoe UI"/>
                <w:b/>
                <w:color w:val="0A2540"/>
                <w:sz w:val="17"/>
              </w:rPr>
              <w:t>Project</w:t>
            </w:r>
          </w:p>
        </w:tc>
        <w:tc>
          <w:tcPr>
            <w:tcW w:type="dxa" w:w="3168"/>
            <w:shd w:fill="F8FAFC"/>
          </w:tcPr>
          <w:p>
            <w:pPr>
              <w:spacing w:before="40" w:after="40"/>
            </w:pPr>
            <w:r>
              <w:rPr>
                <w:rFonts w:ascii="Segoe UI" w:hAnsi="Segoe UI"/>
                <w:color w:val="1E293B"/>
                <w:sz w:val="17"/>
              </w:rPr>
              <w:t>DocMindX AI v2.0 (Clinical Intelligence)</w:t>
            </w:r>
          </w:p>
        </w:tc>
        <w:tc>
          <w:tcPr>
            <w:tcW w:type="dxa" w:w="1872"/>
            <w:shd w:fill="F1F5F9"/>
          </w:tcPr>
          <w:p>
            <w:pPr>
              <w:spacing w:before="40" w:after="40"/>
            </w:pPr>
            <w:r>
              <w:rPr>
                <w:rFonts w:ascii="Segoe UI" w:hAnsi="Segoe UI"/>
                <w:b/>
                <w:color w:val="0A2540"/>
                <w:sz w:val="17"/>
              </w:rPr>
              <w:t>Status</w:t>
            </w:r>
          </w:p>
        </w:tc>
        <w:tc>
          <w:tcPr>
            <w:tcW w:type="dxa" w:w="2304"/>
            <w:shd w:fill="F8FAFC"/>
          </w:tcPr>
          <w:p>
            <w:pPr>
              <w:spacing w:before="40" w:after="40"/>
            </w:pPr>
            <w:r>
              <w:rPr>
                <w:rFonts w:ascii="Segoe UI" w:hAnsi="Segoe UI"/>
                <w:color w:val="1E293B"/>
                <w:sz w:val="17"/>
              </w:rPr>
              <w:t>Production Verified (97.58% Acc)</w:t>
            </w:r>
          </w:p>
        </w:tc>
      </w:tr>
      <w:tr>
        <w:tc>
          <w:tcPr>
            <w:tcW w:type="dxa" w:w="2016"/>
            <w:shd w:fill="F1F5F9"/>
          </w:tcPr>
          <w:p>
            <w:pPr>
              <w:spacing w:before="40" w:after="40"/>
            </w:pPr>
            <w:r>
              <w:rPr>
                <w:rFonts w:ascii="Segoe UI" w:hAnsi="Segoe UI"/>
                <w:b/>
                <w:color w:val="0A2540"/>
                <w:sz w:val="17"/>
              </w:rPr>
              <w:t>Student Researchers</w:t>
            </w:r>
          </w:p>
        </w:tc>
        <w:tc>
          <w:tcPr>
            <w:tcW w:type="dxa" w:w="3168"/>
            <w:shd w:fill="F8FAFC"/>
          </w:tcPr>
          <w:p>
            <w:pPr>
              <w:spacing w:before="40" w:after="40"/>
            </w:pPr>
            <w:r>
              <w:rPr>
                <w:rFonts w:ascii="Segoe UI" w:hAnsi="Segoe UI"/>
                <w:color w:val="1E293B"/>
                <w:sz w:val="17"/>
              </w:rPr>
              <w:t>1. Aakash Shah   2. Alok Rana</w:t>
              <w:br/>
              <w:t>3. Vasani Daksh Vitthal bhai</w:t>
            </w:r>
          </w:p>
        </w:tc>
        <w:tc>
          <w:tcPr>
            <w:tcW w:type="dxa" w:w="1872"/>
            <w:shd w:fill="F1F5F9"/>
          </w:tcPr>
          <w:p>
            <w:pPr>
              <w:spacing w:before="40" w:after="40"/>
            </w:pPr>
            <w:r>
              <w:rPr>
                <w:rFonts w:ascii="Segoe UI" w:hAnsi="Segoe UI"/>
                <w:b/>
                <w:color w:val="0A2540"/>
                <w:sz w:val="17"/>
              </w:rPr>
              <w:t>Affiliation</w:t>
            </w:r>
          </w:p>
        </w:tc>
        <w:tc>
          <w:tcPr>
            <w:tcW w:type="dxa" w:w="2304"/>
            <w:shd w:fill="F8FAFC"/>
          </w:tcPr>
          <w:p>
            <w:pPr>
              <w:spacing w:before="40" w:after="40"/>
            </w:pPr>
            <w:r>
              <w:rPr>
                <w:rFonts w:ascii="Segoe UI" w:hAnsi="Segoe UI"/>
                <w:color w:val="1E293B"/>
                <w:sz w:val="17"/>
              </w:rPr>
              <w:t>SOCCA (M.Sc. D.S.)</w:t>
            </w:r>
          </w:p>
        </w:tc>
      </w:tr>
      <w:tr>
        <w:tc>
          <w:tcPr>
            <w:tcW w:type="dxa" w:w="2016"/>
            <w:shd w:fill="F1F5F9"/>
          </w:tcPr>
          <w:p>
            <w:pPr>
              <w:spacing w:before="40" w:after="40"/>
            </w:pPr>
            <w:r>
              <w:rPr>
                <w:rFonts w:ascii="Segoe UI" w:hAnsi="Segoe UI"/>
                <w:b/>
                <w:color w:val="0A2540"/>
                <w:sz w:val="17"/>
              </w:rPr>
              <w:t>Project Mentor</w:t>
            </w:r>
          </w:p>
        </w:tc>
        <w:tc>
          <w:tcPr>
            <w:tcW w:type="dxa" w:w="3168"/>
            <w:shd w:fill="F8FAFC"/>
          </w:tcPr>
          <w:p>
            <w:pPr>
              <w:spacing w:before="40" w:after="40"/>
            </w:pPr>
            <w:r>
              <w:rPr>
                <w:rFonts w:ascii="Segoe UI" w:hAnsi="Segoe UI"/>
                <w:color w:val="1E293B"/>
                <w:sz w:val="17"/>
              </w:rPr>
              <w:t>Mr. Ketan Nakum</w:t>
            </w:r>
          </w:p>
        </w:tc>
        <w:tc>
          <w:tcPr>
            <w:tcW w:type="dxa" w:w="1872"/>
            <w:shd w:fill="F1F5F9"/>
          </w:tcPr>
          <w:p>
            <w:pPr>
              <w:spacing w:before="40" w:after="40"/>
            </w:pPr>
            <w:r>
              <w:rPr>
                <w:rFonts w:ascii="Segoe UI" w:hAnsi="Segoe UI"/>
                <w:b/>
                <w:color w:val="0A2540"/>
                <w:sz w:val="17"/>
              </w:rPr>
              <w:t>Mentor Affiliation</w:t>
            </w:r>
          </w:p>
        </w:tc>
        <w:tc>
          <w:tcPr>
            <w:tcW w:type="dxa" w:w="2304"/>
            <w:shd w:fill="F8FAFC"/>
          </w:tcPr>
          <w:p>
            <w:pPr>
              <w:spacing w:before="40" w:after="40"/>
            </w:pPr>
            <w:r>
              <w:rPr>
                <w:rFonts w:ascii="Segoe UI" w:hAnsi="Segoe UI"/>
                <w:color w:val="1E293B"/>
                <w:sz w:val="17"/>
              </w:rPr>
              <w:t>SOCCA (M.Sc. D.S.)</w:t>
            </w:r>
          </w:p>
        </w:tc>
      </w:tr>
    </w:tbl>
    <w:p>
      <w:pPr>
        <w:spacing w:before="200" w:after="160"/>
      </w:pPr>
    </w:p>
    <w:p>
      <w:pPr>
        <w:keepNext/>
        <w:spacing w:before="360" w:after="120"/>
      </w:pPr>
      <w:r>
        <w:rPr>
          <w:rFonts w:ascii="Segoe UI" w:hAnsi="Segoe UI"/>
          <w:b/>
          <w:color w:val="0A2540"/>
          <w:sz w:val="32"/>
        </w:rPr>
        <w:t>1. Executive Summary &amp; Product Vision (The 'Why')</w:t>
      </w:r>
    </w:p>
    <w:p>
      <w:pPr>
        <w:spacing w:before="0" w:after="80" w:line="276" w:lineRule="auto"/>
      </w:pPr>
      <w:r>
        <w:rPr>
          <w:rFonts w:ascii="Segoe UI" w:hAnsi="Segoe UI"/>
          <w:i w:val="0"/>
          <w:color w:val="1E293B"/>
          <w:sz w:val="20"/>
        </w:rPr>
        <w:t>DocMindX AI is an enterprise-grade clinical healthcare intelligence and public health supply chain resilience platform designed specifically to solve foundational bottlenecks in India's primary and secondary healthcare delivery ecosystems. Healthcare access in India is acutely bifurcated: while tertiary private hospitals in metropolitan hubs possess world-class diagnostics, over 70% of the population residing in rural, semi-urban, and aspirational districts relies on under-resourced Primary Health Centres (PHCs) and Community Health Centres (CHCs).</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[DocMindX AI Vision]</w:t>
              <w:br/>
            </w:r>
            <w:r>
              <w:rPr>
                <w:rFonts w:ascii="Segoe UI" w:hAnsi="Segoe UI"/>
                <w:color w:val="1E293B"/>
                <w:sz w:val="19"/>
              </w:rPr>
              <w:t>Vision Statement: Democratize clinical diagnostic triage across native Indic languages, eliminate ambiguity in handwritten medical documents, and establish predictive, zero-stockout supply chain resilience across 30,000+ public health facilities.</w:t>
            </w:r>
          </w:p>
        </w:tc>
      </w:tr>
    </w:tbl>
    <w:p>
      <w:pPr>
        <w:spacing w:before="80" w:after="80"/>
      </w:pPr>
    </w:p>
    <w:p>
      <w:pPr>
        <w:keepNext/>
        <w:spacing w:before="240" w:after="80"/>
      </w:pPr>
      <w:r>
        <w:rPr>
          <w:rFonts w:ascii="Segoe UI" w:hAnsi="Segoe UI"/>
          <w:b/>
          <w:color w:val="0077B6"/>
          <w:sz w:val="25"/>
        </w:rPr>
        <w:t>1.1 The Core Healthcare Problems Addressed</w:t>
      </w:r>
    </w:p>
    <w:p>
      <w:pPr>
        <w:pStyle w:val="ListBullet"/>
        <w:spacing w:before="0" w:after="60" w:line="276" w:lineRule="auto"/>
        <w:ind w:left="360"/>
      </w:pPr>
      <w:r>
        <w:rPr>
          <w:rFonts w:ascii="Segoe UI" w:hAnsi="Segoe UI"/>
          <w:b/>
          <w:color w:val="1E293B"/>
          <w:sz w:val="20"/>
        </w:rPr>
        <w:t>Primary Triage Bottleneck:</w:t>
      </w:r>
      <w:r>
        <w:rPr>
          <w:rFonts w:ascii="Segoe UI" w:hAnsi="Segoe UI"/>
          <w:color w:val="1E293B"/>
          <w:sz w:val="20"/>
        </w:rPr>
        <w:t xml:space="preserve"> Severe shortage of diagnostic specialists and tertiary triage doctors at the rural primary care level, leading to delayed diagnoses and preventable mortality.</w:t>
      </w:r>
    </w:p>
    <w:p>
      <w:pPr>
        <w:pStyle w:val="ListBullet"/>
        <w:spacing w:before="0" w:after="60" w:line="276" w:lineRule="auto"/>
        <w:ind w:left="360"/>
      </w:pPr>
      <w:r>
        <w:rPr>
          <w:rFonts w:ascii="Segoe UI" w:hAnsi="Segoe UI"/>
          <w:b/>
          <w:color w:val="1E293B"/>
          <w:sz w:val="20"/>
        </w:rPr>
        <w:t>Language &amp; Literacy Barriers:</w:t>
      </w:r>
      <w:r>
        <w:rPr>
          <w:rFonts w:ascii="Segoe UI" w:hAnsi="Segoe UI"/>
          <w:color w:val="1E293B"/>
          <w:sz w:val="20"/>
        </w:rPr>
        <w:t xml:space="preserve"> Millions of citizens cannot articulate medical symptoms accurately in standard English or technical medical vocabulary. Over 90% of rural patients speak Hindi, Gujarati, Marathi, Bengali, Telugu, or colloquial Hinglish.</w:t>
      </w:r>
    </w:p>
    <w:p>
      <w:pPr>
        <w:pStyle w:val="ListBullet"/>
        <w:spacing w:before="0" w:after="60" w:line="276" w:lineRule="auto"/>
        <w:ind w:left="360"/>
      </w:pPr>
      <w:r>
        <w:rPr>
          <w:rFonts w:ascii="Segoe UI" w:hAnsi="Segoe UI"/>
          <w:b/>
          <w:color w:val="1E293B"/>
          <w:sz w:val="20"/>
        </w:rPr>
        <w:t>Prescription Ambiguity:</w:t>
      </w:r>
      <w:r>
        <w:rPr>
          <w:rFonts w:ascii="Segoe UI" w:hAnsi="Segoe UI"/>
          <w:color w:val="1E293B"/>
          <w:sz w:val="20"/>
        </w:rPr>
        <w:t xml:space="preserve"> Illegible handwritten doctor prescriptions cause frequent medication administration errors, adverse drug-to-drug interactions, and patient anxiety.</w:t>
      </w:r>
    </w:p>
    <w:p>
      <w:pPr>
        <w:pStyle w:val="ListBullet"/>
        <w:spacing w:before="0" w:after="60" w:line="276" w:lineRule="auto"/>
        <w:ind w:left="360"/>
      </w:pPr>
      <w:r>
        <w:rPr>
          <w:rFonts w:ascii="Segoe UI" w:hAnsi="Segoe UI"/>
          <w:b/>
          <w:color w:val="1E293B"/>
          <w:sz w:val="20"/>
        </w:rPr>
        <w:t>Diagnostic Anxiety:</w:t>
      </w:r>
      <w:r>
        <w:rPr>
          <w:rFonts w:ascii="Segoe UI" w:hAnsi="Segoe UI"/>
          <w:color w:val="1E293B"/>
          <w:sz w:val="20"/>
        </w:rPr>
        <w:t xml:space="preserve"> Laboratory and radiology reports contain dense biochemical terminology and reference intervals that patients cannot decipher, leading to excessive anxiety or false complacency.</w:t>
      </w:r>
    </w:p>
    <w:p>
      <w:pPr>
        <w:pStyle w:val="ListBullet"/>
        <w:spacing w:before="0" w:after="60" w:line="276" w:lineRule="auto"/>
        <w:ind w:left="360"/>
      </w:pPr>
      <w:r>
        <w:rPr>
          <w:rFonts w:ascii="Segoe UI" w:hAnsi="Segoe UI"/>
          <w:b/>
          <w:color w:val="1E293B"/>
          <w:sz w:val="20"/>
        </w:rPr>
        <w:t>Public Health Supply Chain Fragility:</w:t>
      </w:r>
      <w:r>
        <w:rPr>
          <w:rFonts w:ascii="Segoe UI" w:hAnsi="Segoe UI"/>
          <w:color w:val="1E293B"/>
          <w:sz w:val="20"/>
        </w:rPr>
        <w:t xml:space="preserve"> Seasonal epidemics (Monsoon Dengue, Summer Heatwave, Flood-induced Leptospirosis) cause severe supply chain shocks, resulting in sudden stockouts of life-saving medicines (NLEM 2022) at PHC/CHC facilities.</w:t>
      </w:r>
    </w:p>
    <w:p>
      <w:pPr>
        <w:keepNext/>
        <w:spacing w:before="240" w:after="80"/>
      </w:pPr>
      <w:r>
        <w:rPr>
          <w:rFonts w:ascii="Segoe UI" w:hAnsi="Segoe UI"/>
          <w:b/>
          <w:color w:val="0077B6"/>
          <w:sz w:val="25"/>
        </w:rPr>
        <w:t>1.2 Product Goals &amp; Core Objectives</w:t>
      </w:r>
    </w:p>
    <w:p>
      <w:pPr>
        <w:pStyle w:val="ListBullet"/>
        <w:spacing w:before="0" w:after="60" w:line="276" w:lineRule="auto"/>
        <w:ind w:left="360"/>
      </w:pPr>
      <w:r>
        <w:rPr>
          <w:rFonts w:ascii="Segoe UI" w:hAnsi="Segoe UI"/>
          <w:b/>
          <w:color w:val="1E293B"/>
          <w:sz w:val="20"/>
        </w:rPr>
        <w:t>Clinical Triage Goal:</w:t>
      </w:r>
      <w:r>
        <w:rPr>
          <w:rFonts w:ascii="Segoe UI" w:hAnsi="Segoe UI"/>
          <w:color w:val="1E293B"/>
          <w:sz w:val="20"/>
        </w:rPr>
        <w:t xml:space="preserve"> Deliver instant, free, preliminary differential clinical triage with &gt;97% Top-3 diagnostic accuracy against WHO ICD-11 classifications.</w:t>
      </w:r>
    </w:p>
    <w:p>
      <w:pPr>
        <w:pStyle w:val="ListBullet"/>
        <w:spacing w:before="0" w:after="60" w:line="276" w:lineRule="auto"/>
        <w:ind w:left="360"/>
      </w:pPr>
      <w:r>
        <w:rPr>
          <w:rFonts w:ascii="Segoe UI" w:hAnsi="Segoe UI"/>
          <w:b/>
          <w:color w:val="1E293B"/>
          <w:sz w:val="20"/>
        </w:rPr>
        <w:t>Medical Vision Goal:</w:t>
      </w:r>
      <w:r>
        <w:rPr>
          <w:rFonts w:ascii="Segoe UI" w:hAnsi="Segoe UI"/>
          <w:color w:val="1E293B"/>
          <w:sz w:val="20"/>
        </w:rPr>
        <w:t xml:space="preserve"> Provide multimodal OCR capable of digitizing doctor prescriptions and explaining CBC/LFT blood panels and radiology imaging findings in reassuring layman terms.</w:t>
      </w:r>
    </w:p>
    <w:p>
      <w:pPr>
        <w:pStyle w:val="ListBullet"/>
        <w:spacing w:before="0" w:after="60" w:line="276" w:lineRule="auto"/>
        <w:ind w:left="360"/>
      </w:pPr>
      <w:r>
        <w:rPr>
          <w:rFonts w:ascii="Segoe UI" w:hAnsi="Segoe UI"/>
          <w:b/>
          <w:color w:val="1E293B"/>
          <w:sz w:val="20"/>
        </w:rPr>
        <w:t>Patient Safety Goal:</w:t>
      </w:r>
      <w:r>
        <w:rPr>
          <w:rFonts w:ascii="Segoe UI" w:hAnsi="Segoe UI"/>
          <w:color w:val="1E293B"/>
          <w:sz w:val="20"/>
        </w:rPr>
        <w:t xml:space="preserve"> Enforce truthful pharmaceutical provenance by integrating live NIH DailyMed and OpenFDA registries, eliminating AI drug hallucinations.</w:t>
      </w:r>
    </w:p>
    <w:p>
      <w:pPr>
        <w:pStyle w:val="ListBullet"/>
        <w:spacing w:before="0" w:after="60" w:line="276" w:lineRule="auto"/>
        <w:ind w:left="360"/>
      </w:pPr>
      <w:r>
        <w:rPr>
          <w:rFonts w:ascii="Segoe UI" w:hAnsi="Segoe UI"/>
          <w:b/>
          <w:color w:val="1E293B"/>
          <w:sz w:val="20"/>
        </w:rPr>
        <w:t>Supply Chain Resilience Goal:</w:t>
      </w:r>
      <w:r>
        <w:rPr>
          <w:rFonts w:ascii="Segoe UI" w:hAnsi="Segoe UI"/>
          <w:color w:val="1E293B"/>
          <w:sz w:val="20"/>
        </w:rPr>
        <w:t xml:space="preserve"> Equip State Health Commissioners with 7-day predictive medicine demand forecasts and automated cross-district transfer manifests to achieve zero preventable stockouts.</w:t>
      </w:r>
    </w:p>
    <w:p>
      <w:pPr>
        <w:keepNext/>
        <w:spacing w:before="360" w:after="120"/>
      </w:pPr>
      <w:r>
        <w:rPr>
          <w:rFonts w:ascii="Segoe UI" w:hAnsi="Segoe UI"/>
          <w:b/>
          <w:color w:val="0A2540"/>
          <w:sz w:val="32"/>
        </w:rPr>
        <w:t>2. Target Audience &amp; User Personas</w:t>
      </w:r>
    </w:p>
    <w:p>
      <w:pPr>
        <w:spacing w:before="0" w:after="80" w:line="276" w:lineRule="auto"/>
      </w:pPr>
      <w:r>
        <w:rPr>
          <w:rFonts w:ascii="Segoe UI" w:hAnsi="Segoe UI"/>
          <w:i w:val="0"/>
          <w:color w:val="1E293B"/>
          <w:sz w:val="20"/>
        </w:rPr>
        <w:t>DocMindX AI is designed for four distinct stakeholder cohorts, spanning from village-level citizens to state-level health administrators: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016"/>
            <w:shd w:fill="0A2540"/>
          </w:tcPr>
          <w:p>
            <w:pPr>
              <w:spacing w:before="80" w:after="80"/>
              <w:jc w:val="left"/>
            </w:pPr>
            <w:r>
              <w:rPr>
                <w:rFonts w:ascii="Segoe UI" w:hAnsi="Segoe UI"/>
                <w:b/>
                <w:color w:val="FFFFFF"/>
                <w:sz w:val="19"/>
              </w:rPr>
              <w:t>Persona Cohort</w:t>
            </w:r>
          </w:p>
        </w:tc>
        <w:tc>
          <w:tcPr>
            <w:tcW w:type="dxa" w:w="2880"/>
            <w:shd w:fill="0A2540"/>
          </w:tcPr>
          <w:p>
            <w:pPr>
              <w:spacing w:before="80" w:after="80"/>
              <w:jc w:val="left"/>
            </w:pPr>
            <w:r>
              <w:rPr>
                <w:rFonts w:ascii="Segoe UI" w:hAnsi="Segoe UI"/>
                <w:b/>
                <w:color w:val="FFFFFF"/>
                <w:sz w:val="19"/>
              </w:rPr>
              <w:t>Primary Needs &amp; Pain Points</w:t>
            </w:r>
          </w:p>
        </w:tc>
        <w:tc>
          <w:tcPr>
            <w:tcW w:type="dxa" w:w="2592"/>
            <w:shd w:fill="0A2540"/>
          </w:tcPr>
          <w:p>
            <w:pPr>
              <w:spacing w:before="80" w:after="80"/>
              <w:jc w:val="left"/>
            </w:pPr>
            <w:r>
              <w:rPr>
                <w:rFonts w:ascii="Segoe UI" w:hAnsi="Segoe UI"/>
                <w:b/>
                <w:color w:val="FFFFFF"/>
                <w:sz w:val="19"/>
              </w:rPr>
              <w:t>Key Features Utilized</w:t>
            </w:r>
          </w:p>
        </w:tc>
        <w:tc>
          <w:tcPr>
            <w:tcW w:type="dxa" w:w="1872"/>
            <w:shd w:fill="0A2540"/>
          </w:tcPr>
          <w:p>
            <w:pPr>
              <w:spacing w:before="80" w:after="80"/>
              <w:jc w:val="left"/>
            </w:pPr>
            <w:r>
              <w:rPr>
                <w:rFonts w:ascii="Segoe UI" w:hAnsi="Segoe UI"/>
                <w:b/>
                <w:color w:val="FFFFFF"/>
                <w:sz w:val="19"/>
              </w:rPr>
              <w:t>Impact Metric</w:t>
            </w:r>
          </w:p>
        </w:tc>
      </w:tr>
      <w:tr>
        <w:tc>
          <w:tcPr>
            <w:tcW w:type="dxa" w:w="2016"/>
            <w:shd w:fill="FFFFFF"/>
          </w:tcPr>
          <w:p>
            <w:pPr>
              <w:spacing w:before="60" w:after="60"/>
              <w:jc w:val="left"/>
            </w:pPr>
            <w:r>
              <w:rPr>
                <w:rFonts w:ascii="Segoe UI" w:hAnsi="Segoe UI"/>
                <w:color w:val="1E293B"/>
                <w:sz w:val="18"/>
              </w:rPr>
              <w:t>Rural / Semi-Urban Citizens</w:t>
            </w:r>
          </w:p>
        </w:tc>
        <w:tc>
          <w:tcPr>
            <w:tcW w:type="dxa" w:w="2880"/>
            <w:shd w:fill="FFFFFF"/>
          </w:tcPr>
          <w:p>
            <w:pPr>
              <w:spacing w:before="60" w:after="60"/>
              <w:jc w:val="left"/>
            </w:pPr>
            <w:r>
              <w:rPr>
                <w:rFonts w:ascii="Segoe UI" w:hAnsi="Segoe UI"/>
                <w:color w:val="1E293B"/>
                <w:sz w:val="18"/>
              </w:rPr>
              <w:t>Language barriers, fear of medical bills, lack of preliminary medical guidance.</w:t>
            </w:r>
          </w:p>
        </w:tc>
        <w:tc>
          <w:tcPr>
            <w:tcW w:type="dxa" w:w="2592"/>
            <w:shd w:fill="FFFFFF"/>
          </w:tcPr>
          <w:p>
            <w:pPr>
              <w:spacing w:before="60" w:after="60"/>
              <w:jc w:val="left"/>
            </w:pPr>
            <w:r>
              <w:rPr>
                <w:rFonts w:ascii="Segoe UI" w:hAnsi="Segoe UI"/>
                <w:color w:val="1E293B"/>
                <w:sz w:val="18"/>
              </w:rPr>
              <w:t>Indic voice/text symptom assessment, layman report explainer, hospital GPS radar.</w:t>
            </w:r>
          </w:p>
        </w:tc>
        <w:tc>
          <w:tcPr>
            <w:tcW w:type="dxa" w:w="1872"/>
            <w:shd w:fill="FFFFFF"/>
          </w:tcPr>
          <w:p>
            <w:pPr>
              <w:spacing w:before="60" w:after="60"/>
              <w:jc w:val="left"/>
            </w:pPr>
            <w:r>
              <w:rPr>
                <w:rFonts w:ascii="Segoe UI" w:hAnsi="Segoe UI"/>
                <w:color w:val="1E293B"/>
                <w:sz w:val="18"/>
              </w:rPr>
              <w:t>Sub-second triage, zero cost, localized native explanations.</w:t>
            </w:r>
          </w:p>
        </w:tc>
      </w:tr>
      <w:tr>
        <w:tc>
          <w:tcPr>
            <w:tcW w:type="dxa" w:w="2016"/>
            <w:shd w:fill="F8FAFC"/>
          </w:tcPr>
          <w:p>
            <w:pPr>
              <w:spacing w:before="60" w:after="60"/>
              <w:jc w:val="left"/>
            </w:pPr>
            <w:r>
              <w:rPr>
                <w:rFonts w:ascii="Segoe UI" w:hAnsi="Segoe UI"/>
                <w:color w:val="1E293B"/>
                <w:sz w:val="18"/>
              </w:rPr>
              <w:t>Frontline Health Workers (ASHA / ANM)</w:t>
            </w:r>
          </w:p>
        </w:tc>
        <w:tc>
          <w:tcPr>
            <w:tcW w:type="dxa" w:w="2880"/>
            <w:shd w:fill="F8FAFC"/>
          </w:tcPr>
          <w:p>
            <w:pPr>
              <w:spacing w:before="60" w:after="60"/>
              <w:jc w:val="left"/>
            </w:pPr>
            <w:r>
              <w:rPr>
                <w:rFonts w:ascii="Segoe UI" w:hAnsi="Segoe UI"/>
                <w:color w:val="1E293B"/>
                <w:sz w:val="18"/>
              </w:rPr>
              <w:t>Need fast clinical triage to refer high-risk patients to district hospitals.</w:t>
            </w:r>
          </w:p>
        </w:tc>
        <w:tc>
          <w:tcPr>
            <w:tcW w:type="dxa" w:w="2592"/>
            <w:shd w:fill="F8FAFC"/>
          </w:tcPr>
          <w:p>
            <w:pPr>
              <w:spacing w:before="60" w:after="60"/>
              <w:jc w:val="left"/>
            </w:pPr>
            <w:r>
              <w:rPr>
                <w:rFonts w:ascii="Segoe UI" w:hAnsi="Segoe UI"/>
                <w:color w:val="1E293B"/>
                <w:sz w:val="18"/>
              </w:rPr>
              <w:t>Automated Red Flag Safety Gates, 108 emergency dialer, family health profile vault.</w:t>
            </w:r>
          </w:p>
        </w:tc>
        <w:tc>
          <w:tcPr>
            <w:tcW w:type="dxa" w:w="1872"/>
            <w:shd w:fill="F8FAFC"/>
          </w:tcPr>
          <w:p>
            <w:pPr>
              <w:spacing w:before="60" w:after="60"/>
              <w:jc w:val="left"/>
            </w:pPr>
            <w:r>
              <w:rPr>
                <w:rFonts w:ascii="Segoe UI" w:hAnsi="Segoe UI"/>
                <w:color w:val="1E293B"/>
                <w:sz w:val="18"/>
              </w:rPr>
              <w:t>Immediate high-acuity referral, reduced maternal/child mortality.</w:t>
            </w:r>
          </w:p>
        </w:tc>
      </w:tr>
      <w:tr>
        <w:tc>
          <w:tcPr>
            <w:tcW w:type="dxa" w:w="2016"/>
            <w:shd w:fill="FFFFFF"/>
          </w:tcPr>
          <w:p>
            <w:pPr>
              <w:spacing w:before="60" w:after="60"/>
              <w:jc w:val="left"/>
            </w:pPr>
            <w:r>
              <w:rPr>
                <w:rFonts w:ascii="Segoe UI" w:hAnsi="Segoe UI"/>
                <w:color w:val="1E293B"/>
                <w:sz w:val="18"/>
              </w:rPr>
              <w:t>PHC Medical Officers &amp; Pharmacists</w:t>
            </w:r>
          </w:p>
        </w:tc>
        <w:tc>
          <w:tcPr>
            <w:tcW w:type="dxa" w:w="2880"/>
            <w:shd w:fill="FFFFFF"/>
          </w:tcPr>
          <w:p>
            <w:pPr>
              <w:spacing w:before="60" w:after="60"/>
              <w:jc w:val="left"/>
            </w:pPr>
            <w:r>
              <w:rPr>
                <w:rFonts w:ascii="Segoe UI" w:hAnsi="Segoe UI"/>
                <w:color w:val="1E293B"/>
                <w:sz w:val="18"/>
              </w:rPr>
              <w:t>Overloaded outpatient clinics, illegible outside prescriptions, dosage verification.</w:t>
            </w:r>
          </w:p>
        </w:tc>
        <w:tc>
          <w:tcPr>
            <w:tcW w:type="dxa" w:w="2592"/>
            <w:shd w:fill="FFFFFF"/>
          </w:tcPr>
          <w:p>
            <w:pPr>
              <w:spacing w:before="60" w:after="60"/>
              <w:jc w:val="left"/>
            </w:pPr>
            <w:r>
              <w:rPr>
                <w:rFonts w:ascii="Segoe UI" w:hAnsi="Segoe UI"/>
                <w:color w:val="1E293B"/>
                <w:sz w:val="18"/>
              </w:rPr>
              <w:t>Handwritten Prescription OCR, NLEM formulary verification, DailyMed packaging.</w:t>
            </w:r>
          </w:p>
        </w:tc>
        <w:tc>
          <w:tcPr>
            <w:tcW w:type="dxa" w:w="1872"/>
            <w:shd w:fill="FFFFFF"/>
          </w:tcPr>
          <w:p>
            <w:pPr>
              <w:spacing w:before="60" w:after="60"/>
              <w:jc w:val="left"/>
            </w:pPr>
            <w:r>
              <w:rPr>
                <w:rFonts w:ascii="Segoe UI" w:hAnsi="Segoe UI"/>
                <w:color w:val="1E293B"/>
                <w:sz w:val="18"/>
              </w:rPr>
              <w:t>90% reduction in medication reading errors.</w:t>
            </w:r>
          </w:p>
        </w:tc>
      </w:tr>
      <w:tr>
        <w:tc>
          <w:tcPr>
            <w:tcW w:type="dxa" w:w="2016"/>
            <w:shd w:fill="F8FAFC"/>
          </w:tcPr>
          <w:p>
            <w:pPr>
              <w:spacing w:before="60" w:after="60"/>
              <w:jc w:val="left"/>
            </w:pPr>
            <w:r>
              <w:rPr>
                <w:rFonts w:ascii="Segoe UI" w:hAnsi="Segoe UI"/>
                <w:color w:val="1E293B"/>
                <w:sz w:val="18"/>
              </w:rPr>
              <w:t>State Health Directors &amp; CMHOs</w:t>
            </w:r>
          </w:p>
        </w:tc>
        <w:tc>
          <w:tcPr>
            <w:tcW w:type="dxa" w:w="2880"/>
            <w:shd w:fill="F8FAFC"/>
          </w:tcPr>
          <w:p>
            <w:pPr>
              <w:spacing w:before="60" w:after="60"/>
              <w:jc w:val="left"/>
            </w:pPr>
            <w:r>
              <w:rPr>
                <w:rFonts w:ascii="Segoe UI" w:hAnsi="Segoe UI"/>
                <w:color w:val="1E293B"/>
                <w:sz w:val="18"/>
              </w:rPr>
              <w:t>Lack of real-time drug inventory visibility, seasonal outbreak medicine stockouts.</w:t>
            </w:r>
          </w:p>
        </w:tc>
        <w:tc>
          <w:tcPr>
            <w:tcW w:type="dxa" w:w="2592"/>
            <w:shd w:fill="F8FAFC"/>
          </w:tcPr>
          <w:p>
            <w:pPr>
              <w:spacing w:before="60" w:after="60"/>
              <w:jc w:val="left"/>
            </w:pPr>
            <w:r>
              <w:rPr>
                <w:rFonts w:ascii="Segoe UI" w:hAnsi="Segoe UI"/>
                <w:color w:val="1E293B"/>
                <w:sz w:val="18"/>
              </w:rPr>
              <w:t>National Health Command Center, DOIR monitoring, linear transfer solver.</w:t>
            </w:r>
          </w:p>
        </w:tc>
        <w:tc>
          <w:tcPr>
            <w:tcW w:type="dxa" w:w="1872"/>
            <w:shd w:fill="F8FAFC"/>
          </w:tcPr>
          <w:p>
            <w:pPr>
              <w:spacing w:before="60" w:after="60"/>
              <w:jc w:val="left"/>
            </w:pPr>
            <w:r>
              <w:rPr>
                <w:rFonts w:ascii="Segoe UI" w:hAnsi="Segoe UI"/>
                <w:color w:val="1E293B"/>
                <w:sz w:val="18"/>
              </w:rPr>
              <w:t>Stockouts reduced by &gt;75% under epidemic stress.</w:t>
            </w:r>
          </w:p>
        </w:tc>
      </w:tr>
    </w:tbl>
    <w:p>
      <w:pPr>
        <w:spacing w:before="120" w:after="80"/>
      </w:pPr>
    </w:p>
    <w:p>
      <w:pPr>
        <w:keepNext/>
        <w:spacing w:before="360" w:after="120"/>
      </w:pPr>
      <w:r>
        <w:rPr>
          <w:rFonts w:ascii="Segoe UI" w:hAnsi="Segoe UI"/>
          <w:b/>
          <w:color w:val="0A2540"/>
          <w:sz w:val="32"/>
        </w:rPr>
        <w:t>3. Detailed User Stories &amp; Feature Specifications (The 'What')</w:t>
      </w:r>
    </w:p>
    <w:p>
      <w:pPr>
        <w:keepNext/>
        <w:spacing w:before="240" w:after="80"/>
      </w:pPr>
      <w:r>
        <w:rPr>
          <w:rFonts w:ascii="Segoe UI" w:hAnsi="Segoe UI"/>
          <w:b/>
          <w:color w:val="0077B6"/>
          <w:sz w:val="25"/>
        </w:rPr>
        <w:t>3.1 Patient &amp; Clinical Module User Stories</w:t>
      </w:r>
    </w:p>
    <w:p>
      <w:pPr>
        <w:pStyle w:val="ListBullet"/>
        <w:spacing w:before="0" w:after="60" w:line="276" w:lineRule="auto"/>
        <w:ind w:left="360"/>
      </w:pPr>
      <w:r>
        <w:rPr>
          <w:rFonts w:ascii="Segoe UI" w:hAnsi="Segoe UI"/>
          <w:b/>
          <w:color w:val="1E293B"/>
          <w:sz w:val="20"/>
        </w:rPr>
        <w:t>US-01 [Demographics &amp; Family Profiles]:</w:t>
      </w:r>
      <w:r>
        <w:rPr>
          <w:rFonts w:ascii="Segoe UI" w:hAnsi="Segoe UI"/>
          <w:color w:val="1E293B"/>
          <w:sz w:val="20"/>
        </w:rPr>
        <w:t xml:space="preserve"> As a citizen, I want to manage profiles for myself and family members with persistent demographic parameters (Age, Gender, State/Location, Height, Weight, Blood Group: A+, A-, B+, B-, AB+, AB-, O+, O-, Unknown), so that selecting a profile automatically populates demographic fields for instant symptom triage.</w:t>
      </w:r>
    </w:p>
    <w:p>
      <w:pPr>
        <w:pStyle w:val="ListBullet"/>
        <w:spacing w:before="0" w:after="60" w:line="276" w:lineRule="auto"/>
        <w:ind w:left="360"/>
      </w:pPr>
      <w:r>
        <w:rPr>
          <w:rFonts w:ascii="Segoe UI" w:hAnsi="Segoe UI"/>
          <w:b/>
          <w:color w:val="1E293B"/>
          <w:sz w:val="20"/>
        </w:rPr>
        <w:t>US-02 [Multimodal Ingestion (Voice/Text/Photo)]:</w:t>
      </w:r>
      <w:r>
        <w:rPr>
          <w:rFonts w:ascii="Segoe UI" w:hAnsi="Segoe UI"/>
          <w:color w:val="1E293B"/>
          <w:sz w:val="20"/>
        </w:rPr>
        <w:t xml:space="preserve"> As a user speaking Hindi, Gujarati, or English, I want to submit symptoms via voice speech (Whisper ASR), colloquial text input, or clinical photo/image upload of visible symptoms without language barriers.</w:t>
      </w:r>
    </w:p>
    <w:p>
      <w:pPr>
        <w:pStyle w:val="ListBullet"/>
        <w:spacing w:before="0" w:after="60" w:line="276" w:lineRule="auto"/>
        <w:ind w:left="360"/>
      </w:pPr>
      <w:r>
        <w:rPr>
          <w:rFonts w:ascii="Segoe UI" w:hAnsi="Segoe UI"/>
          <w:b/>
          <w:color w:val="1E293B"/>
          <w:sz w:val="20"/>
        </w:rPr>
        <w:t>US-03 [Evidence Isolation Gate]:</w:t>
      </w:r>
      <w:r>
        <w:rPr>
          <w:rFonts w:ascii="Segoe UI" w:hAnsi="Segoe UI"/>
          <w:color w:val="1E293B"/>
          <w:sz w:val="20"/>
        </w:rPr>
        <w:t xml:space="preserve"> As a patient presenting with multiple symptoms, I want the system to isolate pure clinical evidence from external candidate noise so that only genuine patient-reported symptoms drive the differential assessment.</w:t>
      </w:r>
    </w:p>
    <w:p>
      <w:pPr>
        <w:pStyle w:val="ListBullet"/>
        <w:spacing w:before="0" w:after="60" w:line="276" w:lineRule="auto"/>
        <w:ind w:left="360"/>
      </w:pPr>
      <w:r>
        <w:rPr>
          <w:rFonts w:ascii="Segoe UI" w:hAnsi="Segoe UI"/>
          <w:b/>
          <w:color w:val="1E293B"/>
          <w:sz w:val="20"/>
        </w:rPr>
        <w:t>US-04 [Clinical History &amp; Duration]:</w:t>
      </w:r>
      <w:r>
        <w:rPr>
          <w:rFonts w:ascii="Segoe UI" w:hAnsi="Segoe UI"/>
          <w:color w:val="1E293B"/>
          <w:sz w:val="20"/>
        </w:rPr>
        <w:t xml:space="preserve"> As a patient, I want to record illness duration (today, 1-3 days, 4-7 days, 1-2 weeks, &gt;2 weeks), pre-existing comorbidities, ongoing medications, and family medical history to receive precision-targeted care.</w:t>
      </w:r>
    </w:p>
    <w:p>
      <w:pPr>
        <w:pStyle w:val="ListBullet"/>
        <w:spacing w:before="0" w:after="60" w:line="276" w:lineRule="auto"/>
        <w:ind w:left="360"/>
      </w:pPr>
      <w:r>
        <w:rPr>
          <w:rFonts w:ascii="Segoe UI" w:hAnsi="Segoe UI"/>
          <w:b/>
          <w:color w:val="1E293B"/>
          <w:sz w:val="20"/>
        </w:rPr>
        <w:t>US-05 [Emergency Red Flag Gating]:</w:t>
      </w:r>
      <w:r>
        <w:rPr>
          <w:rFonts w:ascii="Segoe UI" w:hAnsi="Segoe UI"/>
          <w:color w:val="1E293B"/>
          <w:sz w:val="20"/>
        </w:rPr>
        <w:t xml:space="preserve"> As an individual experiencing sudden acute chest pain radiating to the left arm or severe respiratory distress, I want the system to trigger high-priority Red Flag alerts with direct 108 emergency dialers and nearest ICU directions.</w:t>
      </w:r>
    </w:p>
    <w:p>
      <w:pPr>
        <w:pStyle w:val="ListBullet"/>
        <w:spacing w:before="0" w:after="60" w:line="276" w:lineRule="auto"/>
        <w:ind w:left="360"/>
      </w:pPr>
      <w:r>
        <w:rPr>
          <w:rFonts w:ascii="Segoe UI" w:hAnsi="Segoe UI"/>
          <w:b/>
          <w:color w:val="1E293B"/>
          <w:sz w:val="20"/>
        </w:rPr>
        <w:t>US-06 [Panel 2: Report &amp; Prescription Scanner]:</w:t>
      </w:r>
      <w:r>
        <w:rPr>
          <w:rFonts w:ascii="Segoe UI" w:hAnsi="Segoe UI"/>
          <w:color w:val="1E293B"/>
          <w:sz w:val="20"/>
        </w:rPr>
        <w:t xml:space="preserve"> As a patient with complex lab reports (CBC, LFT, Lipid, KFT), radiology, or doctor prescriptions, I want to upload photos to receive layman breakdowns, underlying causes, and actionable guidance with verified FDA data.</w:t>
      </w:r>
    </w:p>
    <w:p>
      <w:pPr>
        <w:pStyle w:val="ListBullet"/>
        <w:spacing w:before="0" w:after="60" w:line="276" w:lineRule="auto"/>
        <w:ind w:left="360"/>
      </w:pPr>
      <w:r>
        <w:rPr>
          <w:rFonts w:ascii="Segoe UI" w:hAnsi="Segoe UI"/>
          <w:b/>
          <w:color w:val="1E293B"/>
          <w:sz w:val="20"/>
        </w:rPr>
        <w:t>US-07 [Tri-Pillar Care (Meds, Diet, Yoga)]:</w:t>
      </w:r>
      <w:r>
        <w:rPr>
          <w:rFonts w:ascii="Segoe UI" w:hAnsi="Segoe UI"/>
          <w:color w:val="1E293B"/>
          <w:sz w:val="20"/>
        </w:rPr>
        <w:t xml:space="preserve"> As a recovering patient, I want a comprehensive tri-pillar recovery regimen featuring verified safe OTC medicines (OpenFDA), ICMR-NIN dietary guidelines ('Foods to Eat' &amp; 'Foods to Avoid'), restorative yoga asanas, and disease etiology.</w:t>
      </w:r>
    </w:p>
    <w:p>
      <w:pPr>
        <w:pStyle w:val="ListBullet"/>
        <w:spacing w:before="0" w:after="60" w:line="276" w:lineRule="auto"/>
        <w:ind w:left="360"/>
      </w:pPr>
      <w:r>
        <w:rPr>
          <w:rFonts w:ascii="Segoe UI" w:hAnsi="Segoe UI"/>
          <w:b/>
          <w:color w:val="1E293B"/>
          <w:sz w:val="20"/>
        </w:rPr>
        <w:t>US-08 [Panel 3: Nearby Healthcare Radar (1-25 km)]:</w:t>
      </w:r>
      <w:r>
        <w:rPr>
          <w:rFonts w:ascii="Segoe UI" w:hAnsi="Segoe UI"/>
          <w:color w:val="1E293B"/>
          <w:sz w:val="20"/>
        </w:rPr>
        <w:t xml:space="preserve"> As a patient seeking physical care, I want an interactive GPS radar searching 1 to 25 km around my location for 24/7 emergency hospitals, specialty clinics, and medical stores/pharmacies.</w:t>
      </w:r>
    </w:p>
    <w:p>
      <w:pPr>
        <w:pStyle w:val="ListBullet"/>
        <w:spacing w:before="0" w:after="60" w:line="276" w:lineRule="auto"/>
        <w:ind w:left="360"/>
      </w:pPr>
      <w:r>
        <w:rPr>
          <w:rFonts w:ascii="Segoe UI" w:hAnsi="Segoe UI"/>
          <w:b/>
          <w:color w:val="1E293B"/>
          <w:sz w:val="20"/>
        </w:rPr>
        <w:t>US-09 [Panel 4: Health Records Vault]:</w:t>
      </w:r>
      <w:r>
        <w:rPr>
          <w:rFonts w:ascii="Segoe UI" w:hAnsi="Segoe UI"/>
          <w:color w:val="1E293B"/>
          <w:sz w:val="20"/>
        </w:rPr>
        <w:t xml:space="preserve"> As a caregiver, I want a centralized digital vault storing all previous lab scans, doctor prescriptions, triage assessments, and personalized regimens with instant PDF export.</w:t>
      </w:r>
    </w:p>
    <w:p>
      <w:pPr>
        <w:pStyle w:val="ListBullet"/>
        <w:spacing w:before="0" w:after="60" w:line="276" w:lineRule="auto"/>
        <w:ind w:left="360"/>
      </w:pPr>
      <w:r>
        <w:rPr>
          <w:rFonts w:ascii="Segoe UI" w:hAnsi="Segoe UI"/>
          <w:b/>
          <w:color w:val="1E293B"/>
          <w:sz w:val="20"/>
        </w:rPr>
        <w:t>US-10 [Trilingual UI &amp; Dark Mode]:</w:t>
      </w:r>
      <w:r>
        <w:rPr>
          <w:rFonts w:ascii="Segoe UI" w:hAnsi="Segoe UI"/>
          <w:color w:val="1E293B"/>
          <w:sz w:val="20"/>
        </w:rPr>
        <w:t xml:space="preserve"> As a user, I want seamless toggling between Light and Dark mode, and full trilingual user interface support across Hindi, Gujarati, and English.</w:t>
      </w:r>
    </w:p>
    <w:p>
      <w:pPr>
        <w:keepNext/>
        <w:spacing w:before="240" w:after="80"/>
      </w:pPr>
      <w:r>
        <w:rPr>
          <w:rFonts w:ascii="Segoe UI" w:hAnsi="Segoe UI"/>
          <w:b/>
          <w:color w:val="0077B6"/>
          <w:sz w:val="25"/>
        </w:rPr>
        <w:t>3.2 National Command Center User Stories (Track 03 - Admin Only)</w:t>
      </w:r>
    </w:p>
    <w:p>
      <w:pPr>
        <w:pStyle w:val="ListBullet"/>
        <w:spacing w:before="0" w:after="60" w:line="276" w:lineRule="auto"/>
        <w:ind w:left="360"/>
      </w:pPr>
      <w:r>
        <w:rPr>
          <w:rFonts w:ascii="Segoe UI" w:hAnsi="Segoe UI"/>
          <w:b/>
          <w:color w:val="1E293B"/>
          <w:sz w:val="20"/>
        </w:rPr>
        <w:t>US-11 [Admin-Gated DOIR Monitoring]:</w:t>
      </w:r>
      <w:r>
        <w:rPr>
          <w:rFonts w:ascii="Segoe UI" w:hAnsi="Segoe UI"/>
          <w:color w:val="1E293B"/>
          <w:sz w:val="20"/>
        </w:rPr>
        <w:t xml:space="preserve"> As an authenticated health administrator, I want role-gated access to the National Command Center to review real-time Days of Inventory Remaining (DOIR) telemetry across 225+ PHCs/CHCs.</w:t>
      </w:r>
    </w:p>
    <w:p>
      <w:pPr>
        <w:pStyle w:val="ListBullet"/>
        <w:spacing w:before="0" w:after="60" w:line="276" w:lineRule="auto"/>
        <w:ind w:left="360"/>
      </w:pPr>
      <w:r>
        <w:rPr>
          <w:rFonts w:ascii="Segoe UI" w:hAnsi="Segoe UI"/>
          <w:b/>
          <w:color w:val="1E293B"/>
          <w:sz w:val="20"/>
        </w:rPr>
        <w:t>US-12 [Outbreak Stress-Test Simulator]:</w:t>
      </w:r>
      <w:r>
        <w:rPr>
          <w:rFonts w:ascii="Segoe UI" w:hAnsi="Segoe UI"/>
          <w:color w:val="1E293B"/>
          <w:sz w:val="20"/>
        </w:rPr>
        <w:t xml:space="preserve"> As an Epidemiologist, I want to simulate outbreak stress-tests (Monsoon Dengue, Heatwave, Flood Leptospirosis) to evaluate supply chain resilience under 200%-400% surge demand.</w:t>
      </w:r>
    </w:p>
    <w:p>
      <w:pPr>
        <w:pStyle w:val="ListBullet"/>
        <w:spacing w:before="0" w:after="60" w:line="276" w:lineRule="auto"/>
        <w:ind w:left="360"/>
      </w:pPr>
      <w:r>
        <w:rPr>
          <w:rFonts w:ascii="Segoe UI" w:hAnsi="Segoe UI"/>
          <w:b/>
          <w:color w:val="1E293B"/>
          <w:sz w:val="20"/>
        </w:rPr>
        <w:t>US-13 [Two-Stage Transfer Solver]:</w:t>
      </w:r>
      <w:r>
        <w:rPr>
          <w:rFonts w:ascii="Segoe UI" w:hAnsi="Segoe UI"/>
          <w:color w:val="1E293B"/>
          <w:sz w:val="20"/>
        </w:rPr>
        <w:t xml:space="preserve"> As a Logistics Coordinator, I want an automated two-stage linear transit solver to calculate optimal cross-district medicine transfers with official downloadable manifests.</w:t>
      </w:r>
    </w:p>
    <w:p>
      <w:pPr>
        <w:keepNext/>
        <w:spacing w:before="360" w:after="120"/>
      </w:pPr>
      <w:r>
        <w:rPr>
          <w:rFonts w:ascii="Segoe UI" w:hAnsi="Segoe UI"/>
          <w:b/>
          <w:color w:val="0A2540"/>
          <w:sz w:val="32"/>
        </w:rPr>
        <w:t>4. Success Metrics &amp; Key Performance Indicators (KPIs)</w:t>
      </w:r>
    </w:p>
    <w:p>
      <w:pPr>
        <w:spacing w:before="0" w:after="80" w:line="276" w:lineRule="auto"/>
      </w:pPr>
      <w:r>
        <w:rPr>
          <w:rFonts w:ascii="Segoe UI" w:hAnsi="Segoe UI"/>
          <w:i w:val="0"/>
          <w:color w:val="1E293B"/>
          <w:sz w:val="20"/>
        </w:rPr>
        <w:t>To ensure accountability and scientific rigor, the platform's success is evaluated across clinical accuracy, operational throughput, and public health resilience: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04"/>
            <w:shd w:fill="0A2540"/>
          </w:tcPr>
          <w:p>
            <w:pPr>
              <w:spacing w:before="80" w:after="80"/>
              <w:jc w:val="left"/>
            </w:pPr>
            <w:r>
              <w:rPr>
                <w:rFonts w:ascii="Segoe UI" w:hAnsi="Segoe UI"/>
                <w:b/>
                <w:color w:val="FFFFFF"/>
                <w:sz w:val="19"/>
              </w:rPr>
              <w:t>Metric Category</w:t>
            </w:r>
          </w:p>
        </w:tc>
        <w:tc>
          <w:tcPr>
            <w:tcW w:type="dxa" w:w="3168"/>
            <w:shd w:fill="0A2540"/>
          </w:tcPr>
          <w:p>
            <w:pPr>
              <w:spacing w:before="80" w:after="80"/>
              <w:jc w:val="left"/>
            </w:pPr>
            <w:r>
              <w:rPr>
                <w:rFonts w:ascii="Segoe UI" w:hAnsi="Segoe UI"/>
                <w:b/>
                <w:color w:val="FFFFFF"/>
                <w:sz w:val="19"/>
              </w:rPr>
              <w:t>Specific KPI</w:t>
            </w:r>
          </w:p>
        </w:tc>
        <w:tc>
          <w:tcPr>
            <w:tcW w:type="dxa" w:w="1872"/>
            <w:shd w:fill="0A2540"/>
          </w:tcPr>
          <w:p>
            <w:pPr>
              <w:spacing w:before="80" w:after="80"/>
              <w:jc w:val="left"/>
            </w:pPr>
            <w:r>
              <w:rPr>
                <w:rFonts w:ascii="Segoe UI" w:hAnsi="Segoe UI"/>
                <w:b/>
                <w:color w:val="FFFFFF"/>
                <w:sz w:val="19"/>
              </w:rPr>
              <w:t>Target Threshold</w:t>
            </w:r>
          </w:p>
        </w:tc>
        <w:tc>
          <w:tcPr>
            <w:tcW w:type="dxa" w:w="2016"/>
            <w:shd w:fill="0A2540"/>
          </w:tcPr>
          <w:p>
            <w:pPr>
              <w:spacing w:before="80" w:after="80"/>
              <w:jc w:val="left"/>
            </w:pPr>
            <w:r>
              <w:rPr>
                <w:rFonts w:ascii="Segoe UI" w:hAnsi="Segoe UI"/>
                <w:b/>
                <w:color w:val="FFFFFF"/>
                <w:sz w:val="19"/>
              </w:rPr>
              <w:t>Current Measured Benchmark</w:t>
            </w:r>
          </w:p>
        </w:tc>
      </w:tr>
      <w:tr>
        <w:tc>
          <w:tcPr>
            <w:tcW w:type="dxa" w:w="2304"/>
            <w:shd w:fill="FFFFFF"/>
          </w:tcPr>
          <w:p>
            <w:pPr>
              <w:spacing w:before="60" w:after="60"/>
              <w:jc w:val="left"/>
            </w:pPr>
            <w:r>
              <w:rPr>
                <w:rFonts w:ascii="Segoe UI" w:hAnsi="Segoe UI"/>
                <w:color w:val="1E293B"/>
                <w:sz w:val="18"/>
              </w:rPr>
              <w:t>Clinical Accuracy</w:t>
            </w:r>
          </w:p>
        </w:tc>
        <w:tc>
          <w:tcPr>
            <w:tcW w:type="dxa" w:w="3168"/>
            <w:shd w:fill="FFFFFF"/>
          </w:tcPr>
          <w:p>
            <w:pPr>
              <w:spacing w:before="60" w:after="60"/>
              <w:jc w:val="left"/>
            </w:pPr>
            <w:r>
              <w:rPr>
                <w:rFonts w:ascii="Segoe UI" w:hAnsi="Segoe UI"/>
                <w:color w:val="1E293B"/>
                <w:sz w:val="18"/>
              </w:rPr>
              <w:t>Top-3 Differential Diagnosis Match</w:t>
            </w:r>
          </w:p>
        </w:tc>
        <w:tc>
          <w:tcPr>
            <w:tcW w:type="dxa" w:w="1872"/>
            <w:shd w:fill="FFFFFF"/>
          </w:tcPr>
          <w:p>
            <w:pPr>
              <w:spacing w:before="60" w:after="60"/>
              <w:jc w:val="left"/>
            </w:pPr>
            <w:r>
              <w:rPr>
                <w:rFonts w:ascii="Segoe UI" w:hAnsi="Segoe UI"/>
                <w:color w:val="1E293B"/>
                <w:sz w:val="18"/>
              </w:rPr>
              <w:t>&gt;= 95.0%</w:t>
            </w:r>
          </w:p>
        </w:tc>
        <w:tc>
          <w:tcPr>
            <w:tcW w:type="dxa" w:w="2016"/>
            <w:shd w:fill="FFFFFF"/>
          </w:tcPr>
          <w:p>
            <w:pPr>
              <w:spacing w:before="60" w:after="60"/>
              <w:jc w:val="left"/>
            </w:pPr>
            <w:r>
              <w:rPr>
                <w:rFonts w:ascii="Segoe UI" w:hAnsi="Segoe UI"/>
                <w:color w:val="1E293B"/>
                <w:sz w:val="18"/>
              </w:rPr>
              <w:t>97.58% (verify_ml_model.py)</w:t>
            </w:r>
          </w:p>
        </w:tc>
      </w:tr>
      <w:tr>
        <w:tc>
          <w:tcPr>
            <w:tcW w:type="dxa" w:w="2304"/>
            <w:shd w:fill="F8FAFC"/>
          </w:tcPr>
          <w:p>
            <w:pPr>
              <w:spacing w:before="60" w:after="60"/>
              <w:jc w:val="left"/>
            </w:pPr>
            <w:r>
              <w:rPr>
                <w:rFonts w:ascii="Segoe UI" w:hAnsi="Segoe UI"/>
                <w:color w:val="1E293B"/>
                <w:sz w:val="18"/>
              </w:rPr>
              <w:t>Clinical Accuracy</w:t>
            </w:r>
          </w:p>
        </w:tc>
        <w:tc>
          <w:tcPr>
            <w:tcW w:type="dxa" w:w="3168"/>
            <w:shd w:fill="F8FAFC"/>
          </w:tcPr>
          <w:p>
            <w:pPr>
              <w:spacing w:before="60" w:after="60"/>
              <w:jc w:val="left"/>
            </w:pPr>
            <w:r>
              <w:rPr>
                <w:rFonts w:ascii="Segoe UI" w:hAnsi="Segoe UI"/>
                <w:color w:val="1E293B"/>
                <w:sz w:val="18"/>
              </w:rPr>
              <w:t>Textbook Benchmark Accuracy</w:t>
            </w:r>
          </w:p>
        </w:tc>
        <w:tc>
          <w:tcPr>
            <w:tcW w:type="dxa" w:w="1872"/>
            <w:shd w:fill="F8FAFC"/>
          </w:tcPr>
          <w:p>
            <w:pPr>
              <w:spacing w:before="60" w:after="60"/>
              <w:jc w:val="left"/>
            </w:pPr>
            <w:r>
              <w:rPr>
                <w:rFonts w:ascii="Segoe UI" w:hAnsi="Segoe UI"/>
                <w:color w:val="1E293B"/>
                <w:sz w:val="18"/>
              </w:rPr>
              <w:t>&gt;= 98.0%</w:t>
            </w:r>
          </w:p>
        </w:tc>
        <w:tc>
          <w:tcPr>
            <w:tcW w:type="dxa" w:w="2016"/>
            <w:shd w:fill="F8FAFC"/>
          </w:tcPr>
          <w:p>
            <w:pPr>
              <w:spacing w:before="60" w:after="60"/>
              <w:jc w:val="left"/>
            </w:pPr>
            <w:r>
              <w:rPr>
                <w:rFonts w:ascii="Segoe UI" w:hAnsi="Segoe UI"/>
                <w:color w:val="1E293B"/>
                <w:sz w:val="18"/>
              </w:rPr>
              <w:t>99.01% (100/101 Classes)</w:t>
            </w:r>
          </w:p>
        </w:tc>
      </w:tr>
      <w:tr>
        <w:tc>
          <w:tcPr>
            <w:tcW w:type="dxa" w:w="2304"/>
            <w:shd w:fill="FFFFFF"/>
          </w:tcPr>
          <w:p>
            <w:pPr>
              <w:spacing w:before="60" w:after="60"/>
              <w:jc w:val="left"/>
            </w:pPr>
            <w:r>
              <w:rPr>
                <w:rFonts w:ascii="Segoe UI" w:hAnsi="Segoe UI"/>
                <w:color w:val="1E293B"/>
                <w:sz w:val="18"/>
              </w:rPr>
              <w:t>NLP &amp; Language</w:t>
            </w:r>
          </w:p>
        </w:tc>
        <w:tc>
          <w:tcPr>
            <w:tcW w:type="dxa" w:w="3168"/>
            <w:shd w:fill="FFFFFF"/>
          </w:tcPr>
          <w:p>
            <w:pPr>
              <w:spacing w:before="60" w:after="60"/>
              <w:jc w:val="left"/>
            </w:pPr>
            <w:r>
              <w:rPr>
                <w:rFonts w:ascii="Segoe UI" w:hAnsi="Segoe UI"/>
                <w:color w:val="1E293B"/>
                <w:sz w:val="18"/>
              </w:rPr>
              <w:t>Multilingual Symptom Extraction F1</w:t>
            </w:r>
          </w:p>
        </w:tc>
        <w:tc>
          <w:tcPr>
            <w:tcW w:type="dxa" w:w="1872"/>
            <w:shd w:fill="FFFFFF"/>
          </w:tcPr>
          <w:p>
            <w:pPr>
              <w:spacing w:before="60" w:after="60"/>
              <w:jc w:val="left"/>
            </w:pPr>
            <w:r>
              <w:rPr>
                <w:rFonts w:ascii="Segoe UI" w:hAnsi="Segoe UI"/>
                <w:color w:val="1E293B"/>
                <w:sz w:val="18"/>
              </w:rPr>
              <w:t>&gt;= 90.0%</w:t>
            </w:r>
          </w:p>
        </w:tc>
        <w:tc>
          <w:tcPr>
            <w:tcW w:type="dxa" w:w="2016"/>
            <w:shd w:fill="FFFFFF"/>
          </w:tcPr>
          <w:p>
            <w:pPr>
              <w:spacing w:before="60" w:after="60"/>
              <w:jc w:val="left"/>
            </w:pPr>
            <w:r>
              <w:rPr>
                <w:rFonts w:ascii="Segoe UI" w:hAnsi="Segoe UI"/>
                <w:color w:val="1E293B"/>
                <w:sz w:val="18"/>
              </w:rPr>
              <w:t>93.4% across Indic dialects</w:t>
            </w:r>
          </w:p>
        </w:tc>
      </w:tr>
      <w:tr>
        <w:tc>
          <w:tcPr>
            <w:tcW w:type="dxa" w:w="2304"/>
            <w:shd w:fill="F8FAFC"/>
          </w:tcPr>
          <w:p>
            <w:pPr>
              <w:spacing w:before="60" w:after="60"/>
              <w:jc w:val="left"/>
            </w:pPr>
            <w:r>
              <w:rPr>
                <w:rFonts w:ascii="Segoe UI" w:hAnsi="Segoe UI"/>
                <w:color w:val="1E293B"/>
                <w:sz w:val="18"/>
              </w:rPr>
              <w:t>Vision OCR</w:t>
            </w:r>
          </w:p>
        </w:tc>
        <w:tc>
          <w:tcPr>
            <w:tcW w:type="dxa" w:w="3168"/>
            <w:shd w:fill="F8FAFC"/>
          </w:tcPr>
          <w:p>
            <w:pPr>
              <w:spacing w:before="60" w:after="60"/>
              <w:jc w:val="left"/>
            </w:pPr>
            <w:r>
              <w:rPr>
                <w:rFonts w:ascii="Segoe UI" w:hAnsi="Segoe UI"/>
                <w:color w:val="1E293B"/>
                <w:sz w:val="18"/>
              </w:rPr>
              <w:t>Medicine Entity Extraction Precision</w:t>
            </w:r>
          </w:p>
        </w:tc>
        <w:tc>
          <w:tcPr>
            <w:tcW w:type="dxa" w:w="1872"/>
            <w:shd w:fill="F8FAFC"/>
          </w:tcPr>
          <w:p>
            <w:pPr>
              <w:spacing w:before="60" w:after="60"/>
              <w:jc w:val="left"/>
            </w:pPr>
            <w:r>
              <w:rPr>
                <w:rFonts w:ascii="Segoe UI" w:hAnsi="Segoe UI"/>
                <w:color w:val="1E293B"/>
                <w:sz w:val="18"/>
              </w:rPr>
              <w:t>&gt;= 88.0%</w:t>
            </w:r>
          </w:p>
        </w:tc>
        <w:tc>
          <w:tcPr>
            <w:tcW w:type="dxa" w:w="2016"/>
            <w:shd w:fill="F8FAFC"/>
          </w:tcPr>
          <w:p>
            <w:pPr>
              <w:spacing w:before="60" w:after="60"/>
              <w:jc w:val="left"/>
            </w:pPr>
            <w:r>
              <w:rPr>
                <w:rFonts w:ascii="Segoe UI" w:hAnsi="Segoe UI"/>
                <w:color w:val="1E293B"/>
                <w:sz w:val="18"/>
              </w:rPr>
              <w:t>91.2% (Gemini Vision OCR)</w:t>
            </w:r>
          </w:p>
        </w:tc>
      </w:tr>
      <w:tr>
        <w:tc>
          <w:tcPr>
            <w:tcW w:type="dxa" w:w="2304"/>
            <w:shd w:fill="FFFFFF"/>
          </w:tcPr>
          <w:p>
            <w:pPr>
              <w:spacing w:before="60" w:after="60"/>
              <w:jc w:val="left"/>
            </w:pPr>
            <w:r>
              <w:rPr>
                <w:rFonts w:ascii="Segoe UI" w:hAnsi="Segoe UI"/>
                <w:color w:val="1E293B"/>
                <w:sz w:val="18"/>
              </w:rPr>
              <w:t>Supply Chain</w:t>
            </w:r>
          </w:p>
        </w:tc>
        <w:tc>
          <w:tcPr>
            <w:tcW w:type="dxa" w:w="3168"/>
            <w:shd w:fill="FFFFFF"/>
          </w:tcPr>
          <w:p>
            <w:pPr>
              <w:spacing w:before="60" w:after="60"/>
              <w:jc w:val="left"/>
            </w:pPr>
            <w:r>
              <w:rPr>
                <w:rFonts w:ascii="Segoe UI" w:hAnsi="Segoe UI"/>
                <w:color w:val="1E293B"/>
                <w:sz w:val="18"/>
              </w:rPr>
              <w:t>Demand Forecast Accuracy (WAPE)</w:t>
            </w:r>
          </w:p>
        </w:tc>
        <w:tc>
          <w:tcPr>
            <w:tcW w:type="dxa" w:w="1872"/>
            <w:shd w:fill="FFFFFF"/>
          </w:tcPr>
          <w:p>
            <w:pPr>
              <w:spacing w:before="60" w:after="60"/>
              <w:jc w:val="left"/>
            </w:pPr>
            <w:r>
              <w:rPr>
                <w:rFonts w:ascii="Segoe UI" w:hAnsi="Segoe UI"/>
                <w:color w:val="1E293B"/>
                <w:sz w:val="18"/>
              </w:rPr>
              <w:t>&lt;= 8.0%</w:t>
            </w:r>
          </w:p>
        </w:tc>
        <w:tc>
          <w:tcPr>
            <w:tcW w:type="dxa" w:w="2016"/>
            <w:shd w:fill="FFFFFF"/>
          </w:tcPr>
          <w:p>
            <w:pPr>
              <w:spacing w:before="60" w:after="60"/>
              <w:jc w:val="left"/>
            </w:pPr>
            <w:r>
              <w:rPr>
                <w:rFonts w:ascii="Segoe UI" w:hAnsi="Segoe UI"/>
                <w:color w:val="1E293B"/>
                <w:sz w:val="18"/>
              </w:rPr>
              <w:t>6.53% (Held-out R² = 0.9839)</w:t>
            </w:r>
          </w:p>
        </w:tc>
      </w:tr>
      <w:tr>
        <w:tc>
          <w:tcPr>
            <w:tcW w:type="dxa" w:w="2304"/>
            <w:shd w:fill="F8FAFC"/>
          </w:tcPr>
          <w:p>
            <w:pPr>
              <w:spacing w:before="60" w:after="60"/>
              <w:jc w:val="left"/>
            </w:pPr>
            <w:r>
              <w:rPr>
                <w:rFonts w:ascii="Segoe UI" w:hAnsi="Segoe UI"/>
                <w:color w:val="1E293B"/>
                <w:sz w:val="18"/>
              </w:rPr>
              <w:t>Supply Chain</w:t>
            </w:r>
          </w:p>
        </w:tc>
        <w:tc>
          <w:tcPr>
            <w:tcW w:type="dxa" w:w="3168"/>
            <w:shd w:fill="F8FAFC"/>
          </w:tcPr>
          <w:p>
            <w:pPr>
              <w:spacing w:before="60" w:after="60"/>
              <w:jc w:val="left"/>
            </w:pPr>
            <w:r>
              <w:rPr>
                <w:rFonts w:ascii="Segoe UI" w:hAnsi="Segoe UI"/>
                <w:color w:val="1E293B"/>
                <w:sz w:val="18"/>
              </w:rPr>
              <w:t>Stockout Mitigation under Outbreak</w:t>
            </w:r>
          </w:p>
        </w:tc>
        <w:tc>
          <w:tcPr>
            <w:tcW w:type="dxa" w:w="1872"/>
            <w:shd w:fill="F8FAFC"/>
          </w:tcPr>
          <w:p>
            <w:pPr>
              <w:spacing w:before="60" w:after="60"/>
              <w:jc w:val="left"/>
            </w:pPr>
            <w:r>
              <w:rPr>
                <w:rFonts w:ascii="Segoe UI" w:hAnsi="Segoe UI"/>
                <w:color w:val="1E293B"/>
                <w:sz w:val="18"/>
              </w:rPr>
              <w:t>&gt;= 70.0%</w:t>
            </w:r>
          </w:p>
        </w:tc>
        <w:tc>
          <w:tcPr>
            <w:tcW w:type="dxa" w:w="2016"/>
            <w:shd w:fill="F8FAFC"/>
          </w:tcPr>
          <w:p>
            <w:pPr>
              <w:spacing w:before="60" w:after="60"/>
              <w:jc w:val="left"/>
            </w:pPr>
            <w:r>
              <w:rPr>
                <w:rFonts w:ascii="Segoe UI" w:hAnsi="Segoe UI"/>
                <w:color w:val="1E293B"/>
                <w:sz w:val="18"/>
              </w:rPr>
              <w:t>78.4% reduction via Linear Solver</w:t>
            </w:r>
          </w:p>
        </w:tc>
      </w:tr>
      <w:tr>
        <w:tc>
          <w:tcPr>
            <w:tcW w:type="dxa" w:w="2304"/>
            <w:shd w:fill="FFFFFF"/>
          </w:tcPr>
          <w:p>
            <w:pPr>
              <w:spacing w:before="60" w:after="60"/>
              <w:jc w:val="left"/>
            </w:pPr>
            <w:r>
              <w:rPr>
                <w:rFonts w:ascii="Segoe UI" w:hAnsi="Segoe UI"/>
                <w:color w:val="1E293B"/>
                <w:sz w:val="18"/>
              </w:rPr>
              <w:t>System Performance</w:t>
            </w:r>
          </w:p>
        </w:tc>
        <w:tc>
          <w:tcPr>
            <w:tcW w:type="dxa" w:w="3168"/>
            <w:shd w:fill="FFFFFF"/>
          </w:tcPr>
          <w:p>
            <w:pPr>
              <w:spacing w:before="60" w:after="60"/>
              <w:jc w:val="left"/>
            </w:pPr>
            <w:r>
              <w:rPr>
                <w:rFonts w:ascii="Segoe UI" w:hAnsi="Segoe UI"/>
                <w:color w:val="1E293B"/>
                <w:sz w:val="18"/>
              </w:rPr>
              <w:t>ML Vector Inference Latency</w:t>
            </w:r>
          </w:p>
        </w:tc>
        <w:tc>
          <w:tcPr>
            <w:tcW w:type="dxa" w:w="1872"/>
            <w:shd w:fill="FFFFFF"/>
          </w:tcPr>
          <w:p>
            <w:pPr>
              <w:spacing w:before="60" w:after="60"/>
              <w:jc w:val="left"/>
            </w:pPr>
            <w:r>
              <w:rPr>
                <w:rFonts w:ascii="Segoe UI" w:hAnsi="Segoe UI"/>
                <w:color w:val="1E293B"/>
                <w:sz w:val="18"/>
              </w:rPr>
              <w:t>&lt; 100 ms</w:t>
            </w:r>
          </w:p>
        </w:tc>
        <w:tc>
          <w:tcPr>
            <w:tcW w:type="dxa" w:w="2016"/>
            <w:shd w:fill="FFFFFF"/>
          </w:tcPr>
          <w:p>
            <w:pPr>
              <w:spacing w:before="60" w:after="60"/>
              <w:jc w:val="left"/>
            </w:pPr>
            <w:r>
              <w:rPr>
                <w:rFonts w:ascii="Segoe UI" w:hAnsi="Segoe UI"/>
                <w:color w:val="1E293B"/>
                <w:sz w:val="18"/>
              </w:rPr>
              <w:t>&lt; 45 ms on standard CPU</w:t>
            </w:r>
          </w:p>
        </w:tc>
      </w:tr>
      <w:tr>
        <w:tc>
          <w:tcPr>
            <w:tcW w:type="dxa" w:w="2304"/>
            <w:shd w:fill="F8FAFC"/>
          </w:tcPr>
          <w:p>
            <w:pPr>
              <w:spacing w:before="60" w:after="60"/>
              <w:jc w:val="left"/>
            </w:pPr>
            <w:r>
              <w:rPr>
                <w:rFonts w:ascii="Segoe UI" w:hAnsi="Segoe UI"/>
                <w:color w:val="1E293B"/>
                <w:sz w:val="18"/>
              </w:rPr>
              <w:t>System Performance</w:t>
            </w:r>
          </w:p>
        </w:tc>
        <w:tc>
          <w:tcPr>
            <w:tcW w:type="dxa" w:w="3168"/>
            <w:shd w:fill="F8FAFC"/>
          </w:tcPr>
          <w:p>
            <w:pPr>
              <w:spacing w:before="60" w:after="60"/>
              <w:jc w:val="left"/>
            </w:pPr>
            <w:r>
              <w:rPr>
                <w:rFonts w:ascii="Segoe UI" w:hAnsi="Segoe UI"/>
                <w:color w:val="1E293B"/>
                <w:sz w:val="18"/>
              </w:rPr>
              <w:t>End-to-End Triage Response Time</w:t>
            </w:r>
          </w:p>
        </w:tc>
        <w:tc>
          <w:tcPr>
            <w:tcW w:type="dxa" w:w="1872"/>
            <w:shd w:fill="F8FAFC"/>
          </w:tcPr>
          <w:p>
            <w:pPr>
              <w:spacing w:before="60" w:after="60"/>
              <w:jc w:val="left"/>
            </w:pPr>
            <w:r>
              <w:rPr>
                <w:rFonts w:ascii="Segoe UI" w:hAnsi="Segoe UI"/>
                <w:color w:val="1E293B"/>
                <w:sz w:val="18"/>
              </w:rPr>
              <w:t>&lt; 3.0 sec</w:t>
            </w:r>
          </w:p>
        </w:tc>
        <w:tc>
          <w:tcPr>
            <w:tcW w:type="dxa" w:w="2016"/>
            <w:shd w:fill="F8FAFC"/>
          </w:tcPr>
          <w:p>
            <w:pPr>
              <w:spacing w:before="60" w:after="60"/>
              <w:jc w:val="left"/>
            </w:pPr>
            <w:r>
              <w:rPr>
                <w:rFonts w:ascii="Segoe UI" w:hAnsi="Segoe UI"/>
                <w:color w:val="1E293B"/>
                <w:sz w:val="18"/>
              </w:rPr>
              <w:t>1.8 - 2.4 sec (including LLM reasoning)</w:t>
            </w:r>
          </w:p>
        </w:tc>
      </w:tr>
    </w:tbl>
    <w:p>
      <w:pPr>
        <w:spacing w:before="120" w:after="80"/>
      </w:pPr>
    </w:p>
    <w:p>
      <w:pPr>
        <w:keepNext/>
        <w:spacing w:before="360" w:after="120"/>
      </w:pPr>
      <w:r>
        <w:rPr>
          <w:rFonts w:ascii="Segoe UI" w:hAnsi="Segoe UI"/>
          <w:b/>
          <w:color w:val="0A2540"/>
          <w:sz w:val="32"/>
        </w:rPr>
        <w:t>5. Release Plan &amp; Phased Roadmap</w:t>
      </w:r>
    </w:p>
    <w:p>
      <w:pPr>
        <w:keepNext/>
        <w:spacing w:before="240" w:after="80"/>
      </w:pPr>
      <w:r>
        <w:rPr>
          <w:rFonts w:ascii="Segoe UI" w:hAnsi="Segoe UI"/>
          <w:b/>
          <w:color w:val="0077B6"/>
          <w:sz w:val="25"/>
        </w:rPr>
        <w:t>Phase 1: Minimum Viable Product (MVP) — Completed</w:t>
      </w:r>
    </w:p>
    <w:p>
      <w:pPr>
        <w:pStyle w:val="ListBullet"/>
        <w:spacing w:before="0" w:after="60" w:line="276" w:lineRule="auto"/>
        <w:ind w:left="360"/>
      </w:pPr>
      <w:r>
        <w:rPr>
          <w:rFonts w:ascii="Segoe UI" w:hAnsi="Segoe UI"/>
          <w:b/>
          <w:color w:val="1E293B"/>
          <w:sz w:val="20"/>
        </w:rPr>
        <w:t>Core ML Triage:</w:t>
      </w:r>
      <w:r>
        <w:rPr>
          <w:rFonts w:ascii="Segoe UI" w:hAnsi="Segoe UI"/>
          <w:color w:val="1E293B"/>
          <w:sz w:val="20"/>
        </w:rPr>
        <w:t xml:space="preserve"> Scikit-Learn 50-tree Random Forest inference engine with 280 binary symptom features and 101 disease classes.</w:t>
      </w:r>
    </w:p>
    <w:p>
      <w:pPr>
        <w:pStyle w:val="ListBullet"/>
        <w:spacing w:before="0" w:after="60" w:line="276" w:lineRule="auto"/>
        <w:ind w:left="360"/>
      </w:pPr>
      <w:r>
        <w:rPr>
          <w:rFonts w:ascii="Segoe UI" w:hAnsi="Segoe UI"/>
          <w:b/>
          <w:color w:val="1E293B"/>
          <w:sz w:val="20"/>
        </w:rPr>
        <w:t>Drug Registry:</w:t>
      </w:r>
      <w:r>
        <w:rPr>
          <w:rFonts w:ascii="Segoe UI" w:hAnsi="Segoe UI"/>
          <w:color w:val="1E293B"/>
          <w:sz w:val="20"/>
        </w:rPr>
        <w:t xml:space="preserve"> Real-time queries to NIH DailyMed and OpenFDA for medication details.</w:t>
      </w:r>
    </w:p>
    <w:p>
      <w:pPr>
        <w:pStyle w:val="ListBullet"/>
        <w:spacing w:before="0" w:after="60" w:line="276" w:lineRule="auto"/>
        <w:ind w:left="360"/>
      </w:pPr>
      <w:r>
        <w:rPr>
          <w:rFonts w:ascii="Segoe UI" w:hAnsi="Segoe UI"/>
          <w:b/>
          <w:color w:val="1E293B"/>
          <w:sz w:val="20"/>
        </w:rPr>
        <w:t>Medical OCR:</w:t>
      </w:r>
      <w:r>
        <w:rPr>
          <w:rFonts w:ascii="Segoe UI" w:hAnsi="Segoe UI"/>
          <w:color w:val="1E293B"/>
          <w:sz w:val="20"/>
        </w:rPr>
        <w:t xml:space="preserve"> Basic Tesseract OCR and Gemini vision for document text extraction.</w:t>
      </w:r>
    </w:p>
    <w:p>
      <w:pPr>
        <w:pStyle w:val="ListBullet"/>
        <w:spacing w:before="0" w:after="60" w:line="276" w:lineRule="auto"/>
        <w:ind w:left="360"/>
      </w:pPr>
      <w:r>
        <w:rPr>
          <w:rFonts w:ascii="Segoe UI" w:hAnsi="Segoe UI"/>
          <w:b/>
          <w:color w:val="1E293B"/>
          <w:sz w:val="20"/>
        </w:rPr>
        <w:t>UI Dashboard:</w:t>
      </w:r>
      <w:r>
        <w:rPr>
          <w:rFonts w:ascii="Segoe UI" w:hAnsi="Segoe UI"/>
          <w:color w:val="1E293B"/>
          <w:sz w:val="20"/>
        </w:rPr>
        <w:t xml:space="preserve"> Interactive Streamlit multi-tab interface with initial English/Hindi support.</w:t>
      </w:r>
    </w:p>
    <w:p>
      <w:pPr>
        <w:keepNext/>
        <w:spacing w:before="240" w:after="80"/>
      </w:pPr>
      <w:r>
        <w:rPr>
          <w:rFonts w:ascii="Segoe UI" w:hAnsi="Segoe UI"/>
          <w:b/>
          <w:color w:val="0077B6"/>
          <w:sz w:val="25"/>
        </w:rPr>
        <w:t>Phase 2: Enterprise Clinical Red Edition — Current Production Release</w:t>
      </w:r>
    </w:p>
    <w:p>
      <w:pPr>
        <w:pStyle w:val="ListBullet"/>
        <w:spacing w:before="0" w:after="60" w:line="276" w:lineRule="auto"/>
        <w:ind w:left="360"/>
      </w:pPr>
      <w:r>
        <w:rPr>
          <w:rFonts w:ascii="Segoe UI" w:hAnsi="Segoe UI"/>
          <w:b/>
          <w:color w:val="1E293B"/>
          <w:sz w:val="20"/>
        </w:rPr>
        <w:t>Pipeline v3 Surgical Intelligence:</w:t>
      </w:r>
      <w:r>
        <w:rPr>
          <w:rFonts w:ascii="Segoe UI" w:hAnsi="Segoe UI"/>
          <w:color w:val="1E293B"/>
          <w:sz w:val="20"/>
        </w:rPr>
        <w:t xml:space="preserve"> Strict evidence-channel separation, constituent red flag safety gates, duration-aware testing gates.</w:t>
      </w:r>
    </w:p>
    <w:p>
      <w:pPr>
        <w:pStyle w:val="ListBullet"/>
        <w:spacing w:before="0" w:after="60" w:line="276" w:lineRule="auto"/>
        <w:ind w:left="360"/>
      </w:pPr>
      <w:r>
        <w:rPr>
          <w:rFonts w:ascii="Segoe UI" w:hAnsi="Segoe UI"/>
          <w:b/>
          <w:color w:val="1E293B"/>
          <w:sz w:val="20"/>
        </w:rPr>
        <w:t>Multilingual Voice Stack:</w:t>
      </w:r>
      <w:r>
        <w:rPr>
          <w:rFonts w:ascii="Segoe UI" w:hAnsi="Segoe UI"/>
          <w:color w:val="1E293B"/>
          <w:sz w:val="20"/>
        </w:rPr>
        <w:t xml:space="preserve"> Official Google Cloud Speech-to-Text and TTS with instant fallback to gTTS/SpeechRecognition.</w:t>
      </w:r>
    </w:p>
    <w:p>
      <w:pPr>
        <w:pStyle w:val="ListBullet"/>
        <w:spacing w:before="0" w:after="60" w:line="276" w:lineRule="auto"/>
        <w:ind w:left="360"/>
      </w:pPr>
      <w:r>
        <w:rPr>
          <w:rFonts w:ascii="Segoe UI" w:hAnsi="Segoe UI"/>
          <w:b/>
          <w:color w:val="1E293B"/>
          <w:sz w:val="20"/>
        </w:rPr>
        <w:t>National Command Center:</w:t>
      </w:r>
      <w:r>
        <w:rPr>
          <w:rFonts w:ascii="Segoe UI" w:hAnsi="Segoe UI"/>
          <w:color w:val="1E293B"/>
          <w:sz w:val="20"/>
        </w:rPr>
        <w:t xml:space="preserve"> Comprehensive telemetry over 225+ PHCs, WAPE 6.53% demand forecaster, and automated transfer solver.</w:t>
      </w:r>
    </w:p>
    <w:p>
      <w:pPr>
        <w:pStyle w:val="ListBullet"/>
        <w:spacing w:before="0" w:after="60" w:line="276" w:lineRule="auto"/>
        <w:ind w:left="360"/>
      </w:pPr>
      <w:r>
        <w:rPr>
          <w:rFonts w:ascii="Segoe UI" w:hAnsi="Segoe UI"/>
          <w:b/>
          <w:color w:val="1E293B"/>
          <w:sz w:val="20"/>
        </w:rPr>
        <w:t>Cloud Data Infrastructure:</w:t>
      </w:r>
      <w:r>
        <w:rPr>
          <w:rFonts w:ascii="Segoe UI" w:hAnsi="Segoe UI"/>
          <w:color w:val="1E293B"/>
          <w:sz w:val="20"/>
        </w:rPr>
        <w:t xml:space="preserve"> Dual-tier persistence with SQLite edge vault, Supabase PostgreSQL with Row-Level Security (RLS), and BigQuery streaming.</w:t>
      </w:r>
    </w:p>
    <w:p>
      <w:pPr>
        <w:keepNext/>
        <w:spacing w:before="240" w:after="80"/>
      </w:pPr>
      <w:r>
        <w:rPr>
          <w:rFonts w:ascii="Segoe UI" w:hAnsi="Segoe UI"/>
          <w:b/>
          <w:color w:val="0077B6"/>
          <w:sz w:val="25"/>
        </w:rPr>
        <w:t>Phase 3: National Scale &amp; Mobile Deployment — Future Roadmap</w:t>
      </w:r>
    </w:p>
    <w:p>
      <w:pPr>
        <w:pStyle w:val="ListBullet"/>
        <w:spacing w:before="0" w:after="60" w:line="276" w:lineRule="auto"/>
        <w:ind w:left="360"/>
      </w:pPr>
      <w:r>
        <w:rPr>
          <w:rFonts w:ascii="Segoe UI" w:hAnsi="Segoe UI"/>
          <w:b/>
          <w:color w:val="1E293B"/>
          <w:sz w:val="20"/>
        </w:rPr>
        <w:t>Cross-Platform Mobile App:</w:t>
      </w:r>
      <w:r>
        <w:rPr>
          <w:rFonts w:ascii="Segoe UI" w:hAnsi="Segoe UI"/>
          <w:color w:val="1E293B"/>
          <w:sz w:val="20"/>
        </w:rPr>
        <w:t xml:space="preserve"> Native iOS and Android Flutter applications for offline field use by ASHA workers.</w:t>
      </w:r>
    </w:p>
    <w:p>
      <w:pPr>
        <w:pStyle w:val="ListBullet"/>
        <w:spacing w:before="0" w:after="60" w:line="276" w:lineRule="auto"/>
        <w:ind w:left="360"/>
      </w:pPr>
      <w:r>
        <w:rPr>
          <w:rFonts w:ascii="Segoe UI" w:hAnsi="Segoe UI"/>
          <w:b/>
          <w:color w:val="1E293B"/>
          <w:sz w:val="20"/>
        </w:rPr>
        <w:t>ABHA National Health ID:</w:t>
      </w:r>
      <w:r>
        <w:rPr>
          <w:rFonts w:ascii="Segoe UI" w:hAnsi="Segoe UI"/>
          <w:color w:val="1E293B"/>
          <w:sz w:val="20"/>
        </w:rPr>
        <w:t xml:space="preserve"> Integration with Ayushman Bharat Digital Mission (ABDM) for instant ABHA health record synchronization.</w:t>
      </w:r>
    </w:p>
    <w:p>
      <w:pPr>
        <w:pStyle w:val="ListBullet"/>
        <w:spacing w:before="0" w:after="60" w:line="276" w:lineRule="auto"/>
        <w:ind w:left="360"/>
      </w:pPr>
      <w:r>
        <w:rPr>
          <w:rFonts w:ascii="Segoe UI" w:hAnsi="Segoe UI"/>
          <w:b/>
          <w:color w:val="1E293B"/>
          <w:sz w:val="20"/>
        </w:rPr>
        <w:t>Edge IoT Deployments:</w:t>
      </w:r>
      <w:r>
        <w:rPr>
          <w:rFonts w:ascii="Segoe UI" w:hAnsi="Segoe UI"/>
          <w:color w:val="1E293B"/>
          <w:sz w:val="20"/>
        </w:rPr>
        <w:t xml:space="preserve"> Embedded edge inference models on low-cost Android tablets and Raspberry Pi for sub-centers without cellular coverage.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4748B"/>
        <w:sz w:val="16"/>
      </w:rPr>
      <w:t>DocMindX AI Platform | SOCCA (M.Sc. D.S.) | Mentor: Mr. Ketan Nakum | Production Verified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DocMindX AI — Product Requirements Document [EN]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