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Segoe UI" w:hAnsi="Segoe UI"/>
          <w:b/>
          <w:color w:val="0A2540"/>
          <w:sz w:val="48"/>
        </w:rPr>
        <w:t>DocMindX AI — System Architecture Document</w:t>
      </w:r>
    </w:p>
    <w:p>
      <w:pPr>
        <w:spacing w:before="0" w:after="240"/>
        <w:jc w:val="left"/>
      </w:pPr>
      <w:r>
        <w:rPr>
          <w:rFonts w:ascii="Segoe UI" w:hAnsi="Segoe UI"/>
          <w:i/>
          <w:color w:val="0077B6"/>
          <w:sz w:val="24"/>
        </w:rPr>
        <w:t>Dual-Tier Hybrid Infrastructure, Clinical Pipeline v3 &amp; National Cloud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7"/>
              </w:rPr>
              <w:t>Project</w:t>
            </w:r>
          </w:p>
        </w:tc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DocMindX AI v2.0 (Clinical Intelligence)</w:t>
            </w:r>
          </w:p>
        </w:tc>
        <w:tc>
          <w:tcPr>
            <w:tcW w:type="dxa" w:w="187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7"/>
              </w:rPr>
              <w:t>Status</w:t>
            </w:r>
          </w:p>
        </w:tc>
        <w:tc>
          <w:tcPr>
            <w:tcW w:type="dxa" w:w="230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Production Verified (97.58% Acc)</w:t>
            </w:r>
          </w:p>
        </w:tc>
      </w:tr>
      <w:tr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7"/>
              </w:rPr>
              <w:t>Student Researchers</w:t>
            </w:r>
          </w:p>
        </w:tc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1. Aakash Shah   2. Alok Rana</w:t>
              <w:br/>
              <w:t>3. Vasani Daksh Vitthal bhai</w:t>
            </w:r>
          </w:p>
        </w:tc>
        <w:tc>
          <w:tcPr>
            <w:tcW w:type="dxa" w:w="187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7"/>
              </w:rPr>
              <w:t>Affiliation</w:t>
            </w:r>
          </w:p>
        </w:tc>
        <w:tc>
          <w:tcPr>
            <w:tcW w:type="dxa" w:w="230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SOCCA (M.Sc. D.S.)</w:t>
            </w:r>
          </w:p>
        </w:tc>
      </w:tr>
      <w:tr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7"/>
              </w:rPr>
              <w:t>Project Mentor</w:t>
            </w:r>
          </w:p>
        </w:tc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Mr. Ketan Nakum</w:t>
            </w:r>
          </w:p>
        </w:tc>
        <w:tc>
          <w:tcPr>
            <w:tcW w:type="dxa" w:w="187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7"/>
              </w:rPr>
              <w:t>Mentor Affiliation</w:t>
            </w:r>
          </w:p>
        </w:tc>
        <w:tc>
          <w:tcPr>
            <w:tcW w:type="dxa" w:w="230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SOCCA (M.Sc. D.S.)</w:t>
            </w:r>
          </w:p>
        </w:tc>
      </w:tr>
    </w:tbl>
    <w:p>
      <w:pPr>
        <w:spacing w:before="200" w:after="16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1. High-Level Architectural Blueprint &amp; Strategy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DocMindX AI implements a deliberate Dual-Tier Hybrid Architecture designed to operate seamlessly across high-latency rural field deployments and massive national cloud aggregation centers. In India's public health landscape, over 30,000 Primary Health Centres (PHCs) frequently experience intermittent cellular coverage and electrical disruptions. A monolithic cloud-only architecture introduces unacceptable single points of failure.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Borders>
              <w:top w:val="none"/>
              <w:left w:val="single" w:sz="36" w:space="0" w:color="0077B6"/>
              <w:bottom w:val="none"/>
              <w:right w:val="none"/>
            </w:tcBorders>
          </w:tcPr>
          <w:p>
            <w:pPr>
              <w:spacing w:before="80" w:after="80"/>
              <w:ind w:left="144" w:right="144"/>
            </w:pPr>
            <w:r>
              <w:rPr>
                <w:rFonts w:ascii="Segoe UI" w:hAnsi="Segoe UI"/>
                <w:b/>
                <w:color w:val="0077B6"/>
                <w:sz w:val="21"/>
              </w:rPr>
              <w:t>[Dual-Tier Hybrid Architecture]</w:t>
              <w:br/>
            </w:r>
            <w:r>
              <w:rPr>
                <w:rFonts w:ascii="Segoe UI" w:hAnsi="Segoe UI"/>
                <w:color w:val="1E293B"/>
                <w:sz w:val="19"/>
              </w:rPr>
              <w:t>Architectural Rationale: Dual-Tier Resilience combines instantaneous edge autonomy (&lt;15ms inference via compressed Parquet and SQLite) with massive national-scale analytical aggregation in Google Cloud BigQuery.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1.1 Architectural Tiers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Tier 1 — Edge-Local Autonomy:</w:t>
      </w:r>
      <w:r>
        <w:rPr>
          <w:rFonts w:ascii="Segoe UI" w:hAnsi="Segoe UI"/>
          <w:color w:val="1E293B"/>
          <w:sz w:val="20"/>
        </w:rPr>
        <w:t xml:space="preserve"> Operates client-side using embedded Python runtimes, Apache Parquet columnar storage, and local SQLite vaults. All diagnostic models, red-flag triggers, and two-stage redistribution solvers execute locally in under 45ms with zero cloud dependency.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Tier 2 — National BigQuery Cloud Aggregation:</w:t>
      </w:r>
      <w:r>
        <w:rPr>
          <w:rFonts w:ascii="Segoe UI" w:hAnsi="Segoe UI"/>
          <w:color w:val="1E293B"/>
          <w:sz w:val="20"/>
        </w:rPr>
        <w:t xml:space="preserve"> Ingests multi-district telemetry into Google Cloud BigQuery ('command_center' dataset). Partitioned by snapshot date and clustered by administrative geography for sub-second macro-telemetry across all 36 Indian States and Union Territories.</w:t>
      </w: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2. Comprehensive Technology Stack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The DocMindX AI platform leverages battle-tested, enterprise-grade open-source and cloud technologies: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0A2540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Subsystem Layer</w:t>
            </w:r>
          </w:p>
        </w:tc>
        <w:tc>
          <w:tcPr>
            <w:tcW w:type="dxa" w:w="2592"/>
            <w:shd w:fill="0A2540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Technology / Framework</w:t>
            </w:r>
          </w:p>
        </w:tc>
        <w:tc>
          <w:tcPr>
            <w:tcW w:type="dxa" w:w="2592"/>
            <w:shd w:fill="0A2540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Version / Model Specification</w:t>
            </w:r>
          </w:p>
        </w:tc>
        <w:tc>
          <w:tcPr>
            <w:tcW w:type="dxa" w:w="2160"/>
            <w:shd w:fill="0A2540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Architectural Role</w:t>
            </w:r>
          </w:p>
        </w:tc>
      </w:tr>
      <w:tr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Client Presentation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Streamlit &amp; Streamlit-Folium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v1.35.0+ / Folium 0.16.0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Reactive single-page web UI, interactive GIS maps.</w:t>
            </w:r>
          </w:p>
        </w:tc>
      </w:tr>
      <w:tr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Styling &amp; Theme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Vanilla CSS / Design System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High-Contrast Clinical Tokens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Zero external CSS frameworks; WCAG AAA compliant.</w:t>
            </w:r>
          </w:p>
        </w:tc>
      </w:tr>
      <w:tr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Core Runtime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Python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3.10 / 3.11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High-performance asynchronous backend execution.</w:t>
            </w:r>
          </w:p>
        </w:tc>
      </w:tr>
      <w:tr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Machine Learning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Scikit-Learn &amp; NumPy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v1.9.1 / NumPy 1.24+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50-tree Random Forest classifier &amp; demand regressor.</w:t>
            </w:r>
          </w:p>
        </w:tc>
      </w:tr>
      <w:tr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Multimodal Vision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Google Gemini 2.5 Flash Vision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gemini-2.5-flash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Handwritten prescription &amp; radiology OCR.</w:t>
            </w:r>
          </w:p>
        </w:tc>
      </w:tr>
      <w:tr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Conversational AI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Google Gemini &amp; Groq Cloud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Gemini 2.5 / Llama-3.3-70B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24x7 clinical assistant with failover routing.</w:t>
            </w:r>
          </w:p>
        </w:tc>
      </w:tr>
      <w:tr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Voice &amp; Audio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Google Cloud Speech &amp; TTS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Cloud Speech v2 / gTTS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Trilingual voice input (Hindi, Gujarati, English).</w:t>
            </w:r>
          </w:p>
        </w:tc>
      </w:tr>
      <w:tr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Relational Database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Supabase PostgreSQL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PostgreSQL 15+ (psycopg2)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User accounts, family vault, Row-Level Security.</w:t>
            </w:r>
          </w:p>
        </w:tc>
      </w:tr>
      <w:tr>
        <w:tc>
          <w:tcPr>
            <w:tcW w:type="dxa" w:w="2016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Local Storage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SQLite &amp; Apache Parquet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SQLite 3 / PyArrow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Local offline cache and 10 official ingested datasets.</w:t>
            </w:r>
          </w:p>
        </w:tc>
      </w:tr>
      <w:tr>
        <w:tc>
          <w:tcPr>
            <w:tcW w:type="dxa" w:w="2016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Big Data Warehouse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Google Cloud BigQuery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BigQuery SDK 3.20+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National-scale telemetry, partitioned &amp; clustered tables.</w:t>
            </w:r>
          </w:p>
        </w:tc>
      </w:tr>
    </w:tbl>
    <w:p>
      <w:pPr>
        <w:spacing w:before="120"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3. System Component Architecture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DocMindX AI is organized into six decoupled functional subsystems: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3.1 Component 1: Client Presentation Layer ('app.py', 'components/')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Application Controller:</w:t>
      </w:r>
      <w:r>
        <w:rPr>
          <w:rFonts w:ascii="Segoe UI" w:hAnsi="Segoe UI"/>
          <w:color w:val="1E293B"/>
          <w:sz w:val="20"/>
        </w:rPr>
        <w:t xml:space="preserve"> Manages top navigation, trilingual localization (EN, HI, GU), theme switching (Light/Dark), and active panel routing without page reloads.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Panel 1 Intake &amp; Family Profiles:</w:t>
      </w:r>
      <w:r>
        <w:rPr>
          <w:rFonts w:ascii="Segoe UI" w:hAnsi="Segoe UI"/>
          <w:color w:val="1E293B"/>
          <w:sz w:val="20"/>
        </w:rPr>
        <w:t xml:space="preserve"> Captures patient demographics (Age, Gender, State, Height, Weight, Blood Group: A+, A-, B+, B-, AB+, AB-, O+, O-, Unknown) and pre-existing comorbidities. Selecting a family profile instantly auto-fills these fields.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Multimodal Symptom Capture:</w:t>
      </w:r>
      <w:r>
        <w:rPr>
          <w:rFonts w:ascii="Segoe UI" w:hAnsi="Segoe UI"/>
          <w:color w:val="1E293B"/>
          <w:sz w:val="20"/>
        </w:rPr>
        <w:t xml:space="preserve"> Multi-channel ingestion accepting colloquial speech (Whisper ASR), natural text, and clinical photo uploads with temporal duration buttons ('today', '1-3 days', '4-7 days', '1-2 weeks', '&gt;2 weeks').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Panel 2: Medical Report Scanner:</w:t>
      </w:r>
      <w:r>
        <w:rPr>
          <w:rFonts w:ascii="Segoe UI" w:hAnsi="Segoe UI"/>
          <w:color w:val="1E293B"/>
          <w:sz w:val="20"/>
        </w:rPr>
        <w:t xml:space="preserve"> Ingests lab reports (CBC, LFT, Lipid, KFT), radiology, and prescriptions, delivering layman translations, underlying causes, and actionable tips.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Panel 3: Nearby Healthcare Radar:</w:t>
      </w:r>
      <w:r>
        <w:rPr>
          <w:rFonts w:ascii="Segoe UI" w:hAnsi="Segoe UI"/>
          <w:color w:val="1E293B"/>
          <w:sz w:val="20"/>
        </w:rPr>
        <w:t xml:space="preserve"> Live Overpass OpenStreetMap radar filtering 24/7 emergency hospitals, clinics, pharmacies, blood banks, and labs across an interactive 1 to 25 km radius slider.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Panel 4: Health Records Vault:</w:t>
      </w:r>
      <w:r>
        <w:rPr>
          <w:rFonts w:ascii="Segoe UI" w:hAnsi="Segoe UI"/>
          <w:color w:val="1E293B"/>
          <w:sz w:val="20"/>
        </w:rPr>
        <w:t xml:space="preserve"> Centralized digital vault displaying previous scans, prescriptions, triage assessments, and clinical regimens with PDF export.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Panel 5: National Command Center:</w:t>
      </w:r>
      <w:r>
        <w:rPr>
          <w:rFonts w:ascii="Segoe UI" w:hAnsi="Segoe UI"/>
          <w:color w:val="1E293B"/>
          <w:sz w:val="20"/>
        </w:rPr>
        <w:t xml:space="preserve"> Dedicated administrative console gated strictly to authorized admin users (is_admin=True) with 7-day epidemic forecasting and supply chain rebalancing.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3.2 Component 2: Clinical Intelligence Engine ('ai/disease_prediction/')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Canonical Normalizer:</w:t>
      </w:r>
      <w:r>
        <w:rPr>
          <w:rFonts w:ascii="Segoe UI" w:hAnsi="Segoe UI"/>
          <w:color w:val="1E293B"/>
          <w:sz w:val="20"/>
        </w:rPr>
        <w:t xml:space="preserve"> Translates multilingual colloquial symptom phrases into 280 standardized clinical features while stripping denied symptoms.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Evidence Isolation Gate (Pipeline v3):</w:t>
      </w:r>
      <w:r>
        <w:rPr>
          <w:rFonts w:ascii="Segoe UI" w:hAnsi="Segoe UI"/>
          <w:color w:val="1E293B"/>
          <w:sz w:val="20"/>
        </w:rPr>
        <w:t xml:space="preserve"> Strict evidence boundary ensuring patient findings are never contaminated by external clinical ontology candidate titles.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Dual-Tier ML Classifier:</w:t>
      </w:r>
      <w:r>
        <w:rPr>
          <w:rFonts w:ascii="Segoe UI" w:hAnsi="Segoe UI"/>
          <w:color w:val="1E293B"/>
          <w:sz w:val="20"/>
        </w:rPr>
        <w:t xml:space="preserve"> 50-tree Random Forest classifier generating calibrated disease probability distributions across 101 ICD-11 classes with 97.58% Top-3 accuracy.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Tri-Pillar Holistic Regimen Engine:</w:t>
      </w:r>
      <w:r>
        <w:rPr>
          <w:rFonts w:ascii="Segoe UI" w:hAnsi="Segoe UI"/>
          <w:color w:val="1E293B"/>
          <w:sz w:val="20"/>
        </w:rPr>
        <w:t xml:space="preserve"> Synthesizes verified OTC medicines (OpenFDA), ICMR-NIN dietary guidelines ('Foods to Eat' &amp; 'Foods to Avoid'), restorative yoga asanas, and disease etiology.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Red Flag Safety Gates:</w:t>
      </w:r>
      <w:r>
        <w:rPr>
          <w:rFonts w:ascii="Segoe UI" w:hAnsi="Segoe UI"/>
          <w:color w:val="1E293B"/>
          <w:sz w:val="20"/>
        </w:rPr>
        <w:t xml:space="preserve"> Constituent emergency rules (RF001 to RF035) triggering instant triage alerts and 108 emergency dialers.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3.3 Component 3: Multimodal Vision &amp; Report Analyzer ('ai/ocr/', 'ai/report_ai/')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Image Preprocessor:</w:t>
      </w:r>
      <w:r>
        <w:rPr>
          <w:rFonts w:ascii="Segoe UI" w:hAnsi="Segoe UI"/>
          <w:color w:val="1E293B"/>
          <w:sz w:val="20"/>
        </w:rPr>
        <w:t xml:space="preserve"> Preprocesses images using OpenCV (adaptive thresholding, contrast enhancement) before OCR parsing.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Prescription Analyzer:</w:t>
      </w:r>
      <w:r>
        <w:rPr>
          <w:rFonts w:ascii="Segoe UI" w:hAnsi="Segoe UI"/>
          <w:color w:val="1E293B"/>
          <w:sz w:val="20"/>
        </w:rPr>
        <w:t xml:space="preserve"> Extracts drug schedules, frequencies, and cautionary guidelines from handwritten doctor scripts using Gemini Vision.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Biochemical Lab Analyzer:</w:t>
      </w:r>
      <w:r>
        <w:rPr>
          <w:rFonts w:ascii="Segoe UI" w:hAnsi="Segoe UI"/>
          <w:color w:val="1E293B"/>
          <w:sz w:val="20"/>
        </w:rPr>
        <w:t xml:space="preserve"> Evaluates biochemical markers (Hemoglobin, Platelets, SGPT, Bilirubin, HbA1c) against clinical reference ranges with layman breakdown.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3.4 Component 4: National Command Logistics Engine ('ai/supply_chain/')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Data Ingestion Manager:</w:t>
      </w:r>
      <w:r>
        <w:rPr>
          <w:rFonts w:ascii="Segoe UI" w:hAnsi="Segoe UI"/>
          <w:color w:val="1E293B"/>
          <w:sz w:val="20"/>
        </w:rPr>
        <w:t xml:space="preserve"> Automated pipelines reconciling HMIS, NFHS-5, Beds, IPHS, and NLEM 2022 datasets with immutable provenance tags.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Demand Forecaster:</w:t>
      </w:r>
      <w:r>
        <w:rPr>
          <w:rFonts w:ascii="Segoe UI" w:hAnsi="Segoe UI"/>
          <w:color w:val="1E293B"/>
          <w:sz w:val="20"/>
        </w:rPr>
        <w:t xml:space="preserve"> Multi-factor time-series regressor forecasting 7-day medicine consumption with 6.53% WAPE.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DOIR Stockout Detector:</w:t>
      </w:r>
      <w:r>
        <w:rPr>
          <w:rFonts w:ascii="Segoe UI" w:hAnsi="Segoe UI"/>
          <w:color w:val="1E293B"/>
          <w:sz w:val="20"/>
        </w:rPr>
        <w:t xml:space="preserve"> Calculates Days of Inventory Remaining (DOIR) and issues critical stockout warnings when DOIR &lt; 3.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Two-Stage Redistribution Solver:</w:t>
      </w:r>
      <w:r>
        <w:rPr>
          <w:rFonts w:ascii="Segoe UI" w:hAnsi="Segoe UI"/>
          <w:color w:val="1E293B"/>
          <w:sz w:val="20"/>
        </w:rPr>
        <w:t xml:space="preserve"> Linear transit solver resolving inter-facility shortages and generating downloadable PDF transfer manifests.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3.5 Component 5: External API Gateway ('api/')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Resilient API Clients:</w:t>
      </w:r>
      <w:r>
        <w:rPr>
          <w:rFonts w:ascii="Segoe UI" w:hAnsi="Segoe UI"/>
          <w:color w:val="1E293B"/>
          <w:sz w:val="20"/>
        </w:rPr>
        <w:t xml:space="preserve"> Integrates live NIH DailyMed, OpenFDA, WHO ICD-11, NCBO BioPortal, OpenStreetMap Overpass (1-25 km), and Google Maps with robust offline fallbacks.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3.6 Component 6: Security, Auth &amp; Data Persistence Layer ('database/')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Tenancy &amp; Security Layer:</w:t>
      </w:r>
      <w:r>
        <w:rPr>
          <w:rFonts w:ascii="Segoe UI" w:hAnsi="Segoe UI"/>
          <w:color w:val="1E293B"/>
          <w:sz w:val="20"/>
        </w:rPr>
        <w:t xml:space="preserve"> Enforces role-based access control (RBAC), encrypted SQLite local storage, Supabase PostgreSQL Row-Level Security, and BigQuery cloud sync.</w:t>
      </w: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4. Data Flow &amp; Ingestion Pipelines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4.1 Pipeline v3 Clinical Evidence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1. PATIENT INGESTION:</w:t>
              <w:br/>
              <w:t xml:space="preserve">   [Patient Speech / Text] ──&gt; [ai/voice/speech_to_text.py]</w:t>
              <w:br/>
              <w:t xml:space="preserve">                             ──&gt; [multilingual_symptom_extractor.py]</w:t>
              <w:br/>
              <w:t xml:space="preserve">                                 • Extracts raw colloquial tokens</w:t>
              <w:br/>
              <w:t xml:space="preserve">                                 • Normalizes via canonical regex</w:t>
              <w:br/>
              <w:t xml:space="preserve">                                 • Strips denied/negated symptoms</w:t>
              <w:br/>
              <w:br/>
              <w:t>2. EVIDENCE ISOLATION (Pipeline v3 Gate):</w:t>
              <w:br/>
              <w:t xml:space="preserve">   • Input: { patient_raw_tokens, patient_canonical_tokens, patient_positive_tokens }</w:t>
              <w:br/>
              <w:t xml:space="preserve">   • Hard separation: External candidate titles (NLM/BioPortal) NEVER entered into patient evidence.</w:t>
              <w:br/>
              <w:t xml:space="preserve">   • Constituent Gate: Evaluates composite emergency rules (e.g. RF030 requires Head Trauma + Vomiting).</w:t>
              <w:br/>
              <w:br/>
              <w:t>3. DUAL-TIER INFERENCE:</w:t>
              <w:br/>
              <w:t xml:space="preserve">   • 280-dim Binary Feature Vector ──&gt; [RandomForestClassifier (50 Trees, Gini)]</w:t>
              <w:br/>
              <w:t xml:space="preserve">                                   ──&gt; [Top-5 Differential Predictions]</w:t>
              <w:br/>
              <w:t xml:space="preserve">   • Quality Gate: Drop candidates lacking genuine patient evidence overlap.</w:t>
              <w:br/>
              <w:br/>
              <w:t>4. TRUTHFUL CARE &amp; MEDICATION GATE:</w:t>
              <w:br/>
              <w:t xml:space="preserve">   • Cross-reference predicted drugs with NIH DailyMed &amp; OpenFDA APIs.</w:t>
              <w:br/>
              <w:t xml:space="preserve">   • Unmatched drugs flagged UNVERIFIED (zero hallucinated dosage forms).</w:t>
              <w:br/>
              <w:t xml:space="preserve">   • Suppress non-emergency diagnostic tests (MRI, EEG) if duration &lt;= 4 days.</w:t>
              <w:br/>
              <w:br/>
              <w:t>5. PRESENTATION &amp; EXPORT:</w:t>
              <w:br/>
              <w:t xml:space="preserve">   • Render interactive dashboard cards + ReportLab consultation PDF.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4.2 National Supply Chain Ingestion &amp; BigQuery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1. GOVERNMENT DATA INGESTION:</w:t>
              <w:br/>
              <w:t xml:space="preserve">   [HMIS (20,904 rows) + Beds (36 States) + NFHS-5 (706 Districts) + NLEM 2022 (384 Drugs)]</w:t>
              <w:br/>
              <w:t xml:space="preserve">        │</w:t>
              <w:br/>
              <w:t xml:space="preserve">        ▼ (Canonical Normalization &amp; Immutable Provenance Tagging)</w:t>
              <w:br/>
              <w:t xml:space="preserve">   [Local Edge Store: Apache Parquet / In-Memory DataFrame Cache]</w:t>
              <w:br/>
              <w:br/>
              <w:t>2. OPERATIONAL TELEMETRY &amp; PREDICTIVE ANALYTICS:</w:t>
              <w:br/>
              <w:t xml:space="preserve">   • Compute Days of Inventory Remaining: DOIR = Stock_On_Hand / Consumption_Rate</w:t>
              <w:br/>
              <w:t xml:space="preserve">   • Multi-Factor ML Forecaster: Predicts 7-Day Demand (WAPE 6.53%)</w:t>
              <w:br/>
              <w:t xml:space="preserve">   • Two-Stage Transit Solver: Rebalances stock between surplus and deficit PHCs</w:t>
              <w:br/>
              <w:br/>
              <w:t>3. NATIONAL CLOUD STREAMING:</w:t>
              <w:br/>
              <w:t xml:space="preserve">   • Asynchronous streaming to Google Cloud BigQuery ('command_center' dataset)</w:t>
              <w:br/>
              <w:t xml:space="preserve">   • Partitioning: DATE(snapshot_date)</w:t>
              <w:br/>
              <w:t xml:space="preserve">   • Clustering: state, district, facility_type</w:t>
              <w:br/>
              <w:t xml:space="preserve">   • Enables sub-second macro queries across 30,000+ facilities simultaneously.</w:t>
            </w:r>
          </w:p>
        </w:tc>
      </w:tr>
    </w:tbl>
    <w:p>
      <w:pPr>
        <w:spacing w:before="80"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5. Security, Tenancy &amp; Scalability Plan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5.1 Supabase PostgreSQL Row-Level Security (RLS)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In multi-user cloud deployments, DocMindX AI enforces strict tenant data isolation at the database engine level via PostgreSQL Row-Level Security policies. Even if application-layer authentication is misconfigured, database policies prevent users from viewing or altering records belonging to other users: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-- Supabase PostgreSQL RLS Policies (database/supabase_rls_security.sql)</w:t>
              <w:br/>
              <w:t>ALTER TABLE family_members ENABLE ROW LEVEL SECURITY;</w:t>
              <w:br/>
              <w:t>CREATE POLICY "Users can only access their own family members"</w:t>
              <w:br/>
              <w:t>ON family_members FOR ALL</w:t>
              <w:br/>
              <w:t>USING (auth.uid() = user_id);</w:t>
              <w:br/>
              <w:br/>
              <w:t>ALTER TABLE medical_conditions ENABLE ROW LEVEL SECURITY;</w:t>
              <w:br/>
              <w:t>CREATE POLICY "Users can only access conditions of their family"</w:t>
              <w:br/>
              <w:t>ON medical_conditions FOR ALL</w:t>
              <w:br/>
              <w:t>USING (family_member_id IN (SELECT id FROM family_members WHERE user_id = auth.uid()));</w:t>
              <w:br/>
              <w:br/>
              <w:t>ALTER TABLE medical_scans ENABLE ROW LEVEL SECURITY;</w:t>
              <w:br/>
              <w:t>CREATE POLICY "Users can only access their own uploaded scans"</w:t>
              <w:br/>
              <w:t>ON medical_scans FOR ALL</w:t>
              <w:br/>
              <w:t>USING (auth.uid() = user_id);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5.2 Architecture for 1 Million (10 Lakh) Concurrent Users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To handle nationwide surge traffic during epidemic crises, DocMindX AI implements a horizontally scalable cloud deployment model: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Stateless Microservices:</w:t>
      </w:r>
      <w:r>
        <w:rPr>
          <w:rFonts w:ascii="Segoe UI" w:hAnsi="Segoe UI"/>
          <w:color w:val="1E293B"/>
          <w:sz w:val="20"/>
        </w:rPr>
        <w:t xml:space="preserve"> The Streamlit application and ML triage engine are containerized using Docker and deployed on Google Kubernetes Engine (GKE) with Horizontal Pod Autoscaling (HPA) triggered by CPU/Memory utilization.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Distributed Redis Caching:</w:t>
      </w:r>
      <w:r>
        <w:rPr>
          <w:rFonts w:ascii="Segoe UI" w:hAnsi="Segoe UI"/>
          <w:color w:val="1E293B"/>
          <w:sz w:val="20"/>
        </w:rPr>
        <w:t xml:space="preserve"> User sessions, active triage parameters, and recent NLP queries are cached in a distributed Redis cluster, minimizing database reads.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Cloud CDN Edge Caching:</w:t>
      </w:r>
      <w:r>
        <w:rPr>
          <w:rFonts w:ascii="Segoe UI" w:hAnsi="Segoe UI"/>
          <w:color w:val="1E293B"/>
          <w:sz w:val="20"/>
        </w:rPr>
        <w:t xml:space="preserve"> Static logos, icons, CSS styles, and precomputed NLEM drug reference tables are served via Google Cloud CDN with global edge caching.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BigQuery Read Separation:</w:t>
      </w:r>
      <w:r>
        <w:rPr>
          <w:rFonts w:ascii="Segoe UI" w:hAnsi="Segoe UI"/>
          <w:color w:val="1E293B"/>
          <w:sz w:val="20"/>
        </w:rPr>
        <w:t xml:space="preserve"> Analytical queries from the National Command Center bypass operational databases entirely, querying BigQuery partitioned tables without degrading transactional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6"/>
      </w:rPr>
      <w:t>DocMindX AI Platform | SOCCA (M.Sc. D.S.) | Mentor: Mr. Ketan Nakum | Production Verified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DocMindX AI — System Architecture Document [EN]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