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Segoe UI" w:hAnsi="Segoe UI"/>
          <w:b/>
          <w:color w:val="0A2540"/>
          <w:sz w:val="48"/>
        </w:rPr>
        <w:t>DocMindX AI — Hackathon &amp; Jury Defense Master Guide</w:t>
      </w:r>
    </w:p>
    <w:p>
      <w:pPr>
        <w:spacing w:before="0" w:after="240"/>
        <w:jc w:val="left"/>
      </w:pPr>
      <w:r>
        <w:rPr>
          <w:rFonts w:ascii="Segoe UI" w:hAnsi="Segoe UI"/>
          <w:i/>
          <w:color w:val="0077B6"/>
          <w:sz w:val="24"/>
        </w:rPr>
        <w:t>Complete Platform Architecture, Technical Defense &amp; Expert Q&amp;A for Live Presentations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016"/>
            <w:shd w:fill="F1F5F9"/>
          </w:tcPr>
          <w:p>
            <w:pPr>
              <w:spacing w:before="40" w:after="40"/>
            </w:pPr>
            <w:r>
              <w:rPr>
                <w:rFonts w:ascii="Segoe UI" w:hAnsi="Segoe UI"/>
                <w:b/>
                <w:color w:val="0A2540"/>
                <w:sz w:val="17"/>
              </w:rPr>
              <w:t>Project</w:t>
            </w:r>
          </w:p>
        </w:tc>
        <w:tc>
          <w:tcPr>
            <w:tcW w:type="dxa" w:w="3168"/>
            <w:shd w:fill="F8FAFC"/>
          </w:tcPr>
          <w:p>
            <w:pPr>
              <w:spacing w:before="40" w:after="40"/>
            </w:pPr>
            <w:r>
              <w:rPr>
                <w:rFonts w:ascii="Segoe UI" w:hAnsi="Segoe UI"/>
                <w:color w:val="1E293B"/>
                <w:sz w:val="17"/>
              </w:rPr>
              <w:t>DocMindX AI v2.0 (Clinical Intelligence)</w:t>
            </w:r>
          </w:p>
        </w:tc>
        <w:tc>
          <w:tcPr>
            <w:tcW w:type="dxa" w:w="1872"/>
            <w:shd w:fill="F1F5F9"/>
          </w:tcPr>
          <w:p>
            <w:pPr>
              <w:spacing w:before="40" w:after="40"/>
            </w:pPr>
            <w:r>
              <w:rPr>
                <w:rFonts w:ascii="Segoe UI" w:hAnsi="Segoe UI"/>
                <w:b/>
                <w:color w:val="0A2540"/>
                <w:sz w:val="17"/>
              </w:rPr>
              <w:t>Status</w:t>
            </w:r>
          </w:p>
        </w:tc>
        <w:tc>
          <w:tcPr>
            <w:tcW w:type="dxa" w:w="2304"/>
            <w:shd w:fill="F8FAFC"/>
          </w:tcPr>
          <w:p>
            <w:pPr>
              <w:spacing w:before="40" w:after="40"/>
            </w:pPr>
            <w:r>
              <w:rPr>
                <w:rFonts w:ascii="Segoe UI" w:hAnsi="Segoe UI"/>
                <w:color w:val="1E293B"/>
                <w:sz w:val="17"/>
              </w:rPr>
              <w:t>Production Verified (97.58% Acc)</w:t>
            </w:r>
          </w:p>
        </w:tc>
      </w:tr>
      <w:tr>
        <w:tc>
          <w:tcPr>
            <w:tcW w:type="dxa" w:w="2016"/>
            <w:shd w:fill="F1F5F9"/>
          </w:tcPr>
          <w:p>
            <w:pPr>
              <w:spacing w:before="40" w:after="40"/>
            </w:pPr>
            <w:r>
              <w:rPr>
                <w:rFonts w:ascii="Segoe UI" w:hAnsi="Segoe UI"/>
                <w:b/>
                <w:color w:val="0A2540"/>
                <w:sz w:val="17"/>
              </w:rPr>
              <w:t>Student Researchers</w:t>
            </w:r>
          </w:p>
        </w:tc>
        <w:tc>
          <w:tcPr>
            <w:tcW w:type="dxa" w:w="3168"/>
            <w:shd w:fill="F8FAFC"/>
          </w:tcPr>
          <w:p>
            <w:pPr>
              <w:spacing w:before="40" w:after="40"/>
            </w:pPr>
            <w:r>
              <w:rPr>
                <w:rFonts w:ascii="Segoe UI" w:hAnsi="Segoe UI"/>
                <w:color w:val="1E293B"/>
                <w:sz w:val="17"/>
              </w:rPr>
              <w:t>1. Aakash Shah   2. Alok Rana</w:t>
              <w:br/>
              <w:t>3. Vasani Daksh Vitthal bhai</w:t>
            </w:r>
          </w:p>
        </w:tc>
        <w:tc>
          <w:tcPr>
            <w:tcW w:type="dxa" w:w="1872"/>
            <w:shd w:fill="F1F5F9"/>
          </w:tcPr>
          <w:p>
            <w:pPr>
              <w:spacing w:before="40" w:after="40"/>
            </w:pPr>
            <w:r>
              <w:rPr>
                <w:rFonts w:ascii="Segoe UI" w:hAnsi="Segoe UI"/>
                <w:b/>
                <w:color w:val="0A2540"/>
                <w:sz w:val="17"/>
              </w:rPr>
              <w:t>Affiliation</w:t>
            </w:r>
          </w:p>
        </w:tc>
        <w:tc>
          <w:tcPr>
            <w:tcW w:type="dxa" w:w="2304"/>
            <w:shd w:fill="F8FAFC"/>
          </w:tcPr>
          <w:p>
            <w:pPr>
              <w:spacing w:before="40" w:after="40"/>
            </w:pPr>
            <w:r>
              <w:rPr>
                <w:rFonts w:ascii="Segoe UI" w:hAnsi="Segoe UI"/>
                <w:color w:val="1E293B"/>
                <w:sz w:val="17"/>
              </w:rPr>
              <w:t>SOCCA (M.Sc. D.S.)</w:t>
            </w:r>
          </w:p>
        </w:tc>
      </w:tr>
      <w:tr>
        <w:tc>
          <w:tcPr>
            <w:tcW w:type="dxa" w:w="2016"/>
            <w:shd w:fill="F1F5F9"/>
          </w:tcPr>
          <w:p>
            <w:pPr>
              <w:spacing w:before="40" w:after="40"/>
            </w:pPr>
            <w:r>
              <w:rPr>
                <w:rFonts w:ascii="Segoe UI" w:hAnsi="Segoe UI"/>
                <w:b/>
                <w:color w:val="0A2540"/>
                <w:sz w:val="17"/>
              </w:rPr>
              <w:t>Project Mentor</w:t>
            </w:r>
          </w:p>
        </w:tc>
        <w:tc>
          <w:tcPr>
            <w:tcW w:type="dxa" w:w="3168"/>
            <w:shd w:fill="F8FAFC"/>
          </w:tcPr>
          <w:p>
            <w:pPr>
              <w:spacing w:before="40" w:after="40"/>
            </w:pPr>
            <w:r>
              <w:rPr>
                <w:rFonts w:ascii="Segoe UI" w:hAnsi="Segoe UI"/>
                <w:color w:val="1E293B"/>
                <w:sz w:val="17"/>
              </w:rPr>
              <w:t>Mr. Ketan Nakum</w:t>
            </w:r>
          </w:p>
        </w:tc>
        <w:tc>
          <w:tcPr>
            <w:tcW w:type="dxa" w:w="1872"/>
            <w:shd w:fill="F1F5F9"/>
          </w:tcPr>
          <w:p>
            <w:pPr>
              <w:spacing w:before="40" w:after="40"/>
            </w:pPr>
            <w:r>
              <w:rPr>
                <w:rFonts w:ascii="Segoe UI" w:hAnsi="Segoe UI"/>
                <w:b/>
                <w:color w:val="0A2540"/>
                <w:sz w:val="17"/>
              </w:rPr>
              <w:t>Mentor Affiliation</w:t>
            </w:r>
          </w:p>
        </w:tc>
        <w:tc>
          <w:tcPr>
            <w:tcW w:type="dxa" w:w="2304"/>
            <w:shd w:fill="F8FAFC"/>
          </w:tcPr>
          <w:p>
            <w:pPr>
              <w:spacing w:before="40" w:after="40"/>
            </w:pPr>
            <w:r>
              <w:rPr>
                <w:rFonts w:ascii="Segoe UI" w:hAnsi="Segoe UI"/>
                <w:color w:val="1E293B"/>
                <w:sz w:val="17"/>
              </w:rPr>
              <w:t>SOCCA (M.Sc. D.S.)</w:t>
            </w:r>
          </w:p>
        </w:tc>
      </w:tr>
    </w:tbl>
    <w:p>
      <w:pPr>
        <w:spacing w:before="200" w:after="160"/>
      </w:pPr>
    </w:p>
    <w:p>
      <w:pPr>
        <w:keepNext/>
        <w:spacing w:before="360" w:after="120"/>
      </w:pPr>
      <w:r>
        <w:rPr>
          <w:rFonts w:ascii="Segoe UI" w:hAnsi="Segoe UI"/>
          <w:b/>
          <w:color w:val="0A2540"/>
          <w:sz w:val="32"/>
        </w:rPr>
        <w:t>1. Executive Overview &amp; 2-Minute Opening Presentation Pitch</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[Hackathon Opening Presentation Script (Word-for-Word)]</w:t>
              <w:br/>
            </w:r>
            <w:r>
              <w:rPr>
                <w:rFonts w:ascii="Segoe UI" w:hAnsi="Segoe UI"/>
                <w:color w:val="1E293B"/>
                <w:sz w:val="19"/>
              </w:rPr>
              <w:t>RAPID-FIRE OPENING PITCH (Memorize for Hackathon):</w:t>
              <w:br/>
              <w:t>"Respected Judges and Evaluators, we present DocMindX AI — an enterprise-grade clinical healthcare intelligence and public health supply chain platform.</w:t>
              <w:br/>
              <w:br/>
              <w:t>India faces a severe primary triage bottleneck where over 70% of rural citizens rely on under-resourced Primary Health Centres with acute doctor shortages. DocMindX AI solves this crisis by combining trilingual AI clinical triage (Hindi, Gujarati, English), multimodal OCR for handwritten prescriptions and complex lab reports, live OpenFDA contraindication verification, and a 1-to-25 km hospital locator — backed by our 97.58% accurate calibrated ML model and National Command Center.</w:t>
              <w:br/>
              <w:br/>
              <w:t>Today, we will demonstrate how our system works from citizen intake to epidemic-level public health coordination."</w:t>
            </w:r>
          </w:p>
        </w:tc>
      </w:tr>
    </w:tbl>
    <w:p>
      <w:pPr>
        <w:spacing w:before="80" w:after="80"/>
      </w:pPr>
    </w:p>
    <w:p>
      <w:pPr>
        <w:keepNext/>
        <w:spacing w:before="240" w:after="80"/>
      </w:pPr>
      <w:r>
        <w:rPr>
          <w:rFonts w:ascii="Segoe UI" w:hAnsi="Segoe UI"/>
          <w:b/>
          <w:color w:val="0077B6"/>
          <w:sz w:val="25"/>
        </w:rPr>
        <w:t>1.1 What is DocMindX AI?</w:t>
      </w:r>
    </w:p>
    <w:p>
      <w:pPr>
        <w:spacing w:before="0" w:after="80" w:line="276" w:lineRule="auto"/>
      </w:pPr>
      <w:r>
        <w:rPr>
          <w:rFonts w:ascii="Segoe UI" w:hAnsi="Segoe UI"/>
          <w:i w:val="0"/>
          <w:color w:val="1E293B"/>
          <w:sz w:val="20"/>
        </w:rPr>
        <w:t>DocMindX AI is an integrated, dual-tier clinical healthcare intelligence platform designed to bridge the diagnostic divide between primary health centres (PHCs) and tertiary healthcare infrastructure in India. It empowers citizens to input symptoms colloquially in their native language via voice (Whisper ASR), text, or clinical photos, receiving instant differential diagnoses, verified safe OTC medications, ICMR-NIN dietary guidance, restorative yoga asanas, and nearby healthcare routing.</w:t>
      </w:r>
    </w:p>
    <w:p>
      <w:pPr>
        <w:keepNext/>
        <w:spacing w:before="240" w:after="80"/>
      </w:pPr>
      <w:r>
        <w:rPr>
          <w:rFonts w:ascii="Segoe UI" w:hAnsi="Segoe UI"/>
          <w:b/>
          <w:color w:val="0077B6"/>
          <w:sz w:val="25"/>
        </w:rPr>
        <w:t>1.2 The Core Subsystems of the Application</w:t>
      </w:r>
    </w:p>
    <w:p>
      <w:pPr>
        <w:pStyle w:val="ListBullet"/>
        <w:spacing w:before="0" w:after="60" w:line="276" w:lineRule="auto"/>
        <w:ind w:left="360"/>
      </w:pPr>
      <w:r>
        <w:rPr>
          <w:rFonts w:ascii="Segoe UI" w:hAnsi="Segoe UI"/>
          <w:b/>
          <w:color w:val="1E293B"/>
          <w:sz w:val="20"/>
        </w:rPr>
        <w:t>Panel 1: AI Health &amp; Symptom Analyzer —</w:t>
      </w:r>
      <w:r>
        <w:rPr>
          <w:rFonts w:ascii="Segoe UI" w:hAnsi="Segoe UI"/>
          <w:color w:val="1E293B"/>
          <w:sz w:val="20"/>
        </w:rPr>
        <w:t xml:space="preserve"> Multi-channel symptom intake (Voice, Text, Photo), demographic profiling (Age, Gender, Location/State, Height, Weight, Blood Group: A+, A-, B+, B-, AB+, AB-, O+, O-, Unknown), Family Profile Auto-fill, and 3-Pillar Care Regimen.</w:t>
      </w:r>
    </w:p>
    <w:p>
      <w:pPr>
        <w:pStyle w:val="ListBullet"/>
        <w:spacing w:before="0" w:after="60" w:line="276" w:lineRule="auto"/>
        <w:ind w:left="360"/>
      </w:pPr>
      <w:r>
        <w:rPr>
          <w:rFonts w:ascii="Segoe UI" w:hAnsi="Segoe UI"/>
          <w:b/>
          <w:color w:val="1E293B"/>
          <w:sz w:val="20"/>
        </w:rPr>
        <w:t>Panel 2: Medical Report &amp; Prescription Scanner —</w:t>
      </w:r>
      <w:r>
        <w:rPr>
          <w:rFonts w:ascii="Segoe UI" w:hAnsi="Segoe UI"/>
          <w:color w:val="1E293B"/>
          <w:sz w:val="20"/>
        </w:rPr>
        <w:t xml:space="preserve"> Multimodal vision pipeline parsing handwritten doctor prescriptions and complex lab reports (CBC, LFT, Lipid, KFT, Radiology) into clear layman explanations.</w:t>
      </w:r>
    </w:p>
    <w:p>
      <w:pPr>
        <w:pStyle w:val="ListBullet"/>
        <w:spacing w:before="0" w:after="60" w:line="276" w:lineRule="auto"/>
        <w:ind w:left="360"/>
      </w:pPr>
      <w:r>
        <w:rPr>
          <w:rFonts w:ascii="Segoe UI" w:hAnsi="Segoe UI"/>
          <w:b/>
          <w:color w:val="1E293B"/>
          <w:sz w:val="20"/>
        </w:rPr>
        <w:t>Panel 3: Nearby Healthcare Radar —</w:t>
      </w:r>
      <w:r>
        <w:rPr>
          <w:rFonts w:ascii="Segoe UI" w:hAnsi="Segoe UI"/>
          <w:color w:val="1E293B"/>
          <w:sz w:val="20"/>
        </w:rPr>
        <w:t xml:space="preserve"> OpenStreetMap Overpass GPS radar discovering 24/7 emergency hospitals, clinics, and medical stores within an interactive 1 to 25 km perimeter radius slider.</w:t>
      </w:r>
    </w:p>
    <w:p>
      <w:pPr>
        <w:pStyle w:val="ListBullet"/>
        <w:spacing w:before="0" w:after="60" w:line="276" w:lineRule="auto"/>
        <w:ind w:left="360"/>
      </w:pPr>
      <w:r>
        <w:rPr>
          <w:rFonts w:ascii="Segoe UI" w:hAnsi="Segoe UI"/>
          <w:b/>
          <w:color w:val="1E293B"/>
          <w:sz w:val="20"/>
        </w:rPr>
        <w:t>Panel 4: Health Records Vault &amp; Family Profiles —</w:t>
      </w:r>
      <w:r>
        <w:rPr>
          <w:rFonts w:ascii="Segoe UI" w:hAnsi="Segoe UI"/>
          <w:color w:val="1E293B"/>
          <w:sz w:val="20"/>
        </w:rPr>
        <w:t xml:space="preserve"> Centralized encrypted medical history vault tracking previous scans, prescriptions, triage assessments, and clinical regimens with instant PDF consultation export.</w:t>
      </w:r>
    </w:p>
    <w:p>
      <w:pPr>
        <w:pStyle w:val="ListBullet"/>
        <w:spacing w:before="0" w:after="60" w:line="276" w:lineRule="auto"/>
        <w:ind w:left="360"/>
      </w:pPr>
      <w:r>
        <w:rPr>
          <w:rFonts w:ascii="Segoe UI" w:hAnsi="Segoe UI"/>
          <w:b/>
          <w:color w:val="1E293B"/>
          <w:sz w:val="20"/>
        </w:rPr>
        <w:t>Panel 5: National Health Command Center (Admin Only) —</w:t>
      </w:r>
      <w:r>
        <w:rPr>
          <w:rFonts w:ascii="Segoe UI" w:hAnsi="Segoe UI"/>
          <w:color w:val="1E293B"/>
          <w:sz w:val="20"/>
        </w:rPr>
        <w:t xml:space="preserve"> Gated strictly to authorized administrators (is_admin=True); monitors Days of Inventory Remaining (DOIR) across 225+ PHCs, forecasts demand with 6.53% WAPE, and computes optimal inter-facility medicine transfers.</w:t>
      </w:r>
    </w:p>
    <w:p>
      <w:pPr>
        <w:keepNext/>
        <w:spacing w:before="360" w:after="120"/>
      </w:pPr>
      <w:r>
        <w:rPr>
          <w:rFonts w:ascii="Segoe UI" w:hAnsi="Segoe UI"/>
          <w:b/>
          <w:color w:val="0A2540"/>
          <w:sz w:val="32"/>
        </w:rPr>
        <w:t>2. Core Jury Defense Questions &amp; Fundamental Evaluation Inquiries</w:t>
      </w:r>
    </w:p>
    <w:p>
      <w:pPr>
        <w:keepNext/>
        <w:spacing w:before="240" w:after="80"/>
      </w:pPr>
      <w:r>
        <w:rPr>
          <w:rFonts w:ascii="Segoe UI" w:hAnsi="Segoe UI"/>
          <w:b/>
          <w:color w:val="0077B6"/>
          <w:sz w:val="25"/>
        </w:rPr>
        <w:t>Q1: Why should people use DocMindX AI? What is its unique value proposition?</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[Evaluator Question Context]</w:t>
              <w:br/>
            </w:r>
            <w:r>
              <w:rPr>
                <w:rFonts w:ascii="Segoe UI" w:hAnsi="Segoe UI"/>
                <w:color w:val="1E293B"/>
                <w:sz w:val="19"/>
              </w:rPr>
              <w:t>Core Evaluator Inquiry:</w:t>
              <w:br/>
              <w:t>"Why should citizens, frontline healthcare workers, and clinicians adopt DocMindX AI instead of relying on existing methods or visiting physical clinics directly?"</w:t>
              <w:br/>
              <w:br/>
              <w:t>Strategic Defense Rationale:</w:t>
              <w:br/>
              <w:t>Addresses India's critical primary healthcare bottlenecks: severe rural doctor shortages, trilingual colloquial accessibility, instant triage in &lt;110ms, automated handwritten prescription deciphering, and holistic 3-pillar care (Nutrition + Yoga + Verified OTC).</w:t>
            </w:r>
          </w:p>
        </w:tc>
      </w:tr>
    </w:tbl>
    <w:p>
      <w:pPr>
        <w:spacing w:before="80" w:after="80"/>
      </w:pPr>
    </w:p>
    <w:p>
      <w:pPr>
        <w:spacing w:before="0" w:after="80" w:line="276" w:lineRule="auto"/>
      </w:pPr>
      <w:r>
        <w:rPr>
          <w:rFonts w:ascii="Segoe UI" w:hAnsi="Segoe UI"/>
          <w:i w:val="0"/>
          <w:color w:val="1E293B"/>
          <w:sz w:val="20"/>
        </w:rPr>
        <w:t>Answer for Live Presentation:</w:t>
      </w:r>
    </w:p>
    <w:p>
      <w:pPr>
        <w:pStyle w:val="ListBullet"/>
        <w:spacing w:before="0" w:after="60" w:line="276" w:lineRule="auto"/>
        <w:ind w:left="360"/>
      </w:pPr>
      <w:r>
        <w:rPr>
          <w:rFonts w:ascii="Segoe UI" w:hAnsi="Segoe UI"/>
          <w:b/>
          <w:color w:val="1E293B"/>
          <w:sz w:val="20"/>
        </w:rPr>
        <w:t>1. Trilingual Accessibility:</w:t>
      </w:r>
      <w:r>
        <w:rPr>
          <w:rFonts w:ascii="Segoe UI" w:hAnsi="Segoe UI"/>
          <w:color w:val="1E293B"/>
          <w:sz w:val="20"/>
        </w:rPr>
        <w:t xml:space="preserve"> Over 90% of rural patients cannot articulate symptoms in technical English. DocMindX AI understands colloquial Hindi and Gujarati (e.g., '3 din thi mathe chhadeli che' [Severe headache for 3 days], 'chaati me dabav' [Chest pressure]) with zero language friction.</w:t>
      </w:r>
    </w:p>
    <w:p>
      <w:pPr>
        <w:pStyle w:val="ListBullet"/>
        <w:spacing w:before="0" w:after="60" w:line="276" w:lineRule="auto"/>
        <w:ind w:left="360"/>
      </w:pPr>
      <w:r>
        <w:rPr>
          <w:rFonts w:ascii="Segoe UI" w:hAnsi="Segoe UI"/>
          <w:b/>
          <w:color w:val="1E293B"/>
          <w:sz w:val="20"/>
        </w:rPr>
        <w:t>2. Zero-Cost, Instant Triage:</w:t>
      </w:r>
      <w:r>
        <w:rPr>
          <w:rFonts w:ascii="Segoe UI" w:hAnsi="Segoe UI"/>
          <w:color w:val="1E293B"/>
          <w:sz w:val="20"/>
        </w:rPr>
        <w:t xml:space="preserve"> Patients in rural areas often wait 4 to 8 hours just for preliminary triage. DocMindX AI provides immediate, free preliminary assessments in &lt;110 milliseconds.</w:t>
      </w:r>
    </w:p>
    <w:p>
      <w:pPr>
        <w:pStyle w:val="ListBullet"/>
        <w:spacing w:before="0" w:after="60" w:line="276" w:lineRule="auto"/>
        <w:ind w:left="360"/>
      </w:pPr>
      <w:r>
        <w:rPr>
          <w:rFonts w:ascii="Segoe UI" w:hAnsi="Segoe UI"/>
          <w:b/>
          <w:color w:val="1E293B"/>
          <w:sz w:val="20"/>
        </w:rPr>
        <w:t>3. Prescription Deciphering:</w:t>
      </w:r>
      <w:r>
        <w:rPr>
          <w:rFonts w:ascii="Segoe UI" w:hAnsi="Segoe UI"/>
          <w:color w:val="1E293B"/>
          <w:sz w:val="20"/>
        </w:rPr>
        <w:t xml:space="preserve"> Over 70% of medication administration errors in rural clinics happen due to illegible handwritten doctor scripts. Panel 2 digitizes prescriptions and explains dosages safely.</w:t>
      </w:r>
    </w:p>
    <w:p>
      <w:pPr>
        <w:pStyle w:val="ListBullet"/>
        <w:spacing w:before="0" w:after="60" w:line="276" w:lineRule="auto"/>
        <w:ind w:left="360"/>
      </w:pPr>
      <w:r>
        <w:rPr>
          <w:rFonts w:ascii="Segoe UI" w:hAnsi="Segoe UI"/>
          <w:b/>
          <w:color w:val="1E293B"/>
          <w:sz w:val="20"/>
        </w:rPr>
        <w:t>4. Holistic 3-Pillar Care:</w:t>
      </w:r>
      <w:r>
        <w:rPr>
          <w:rFonts w:ascii="Segoe UI" w:hAnsi="Segoe UI"/>
          <w:color w:val="1E293B"/>
          <w:sz w:val="20"/>
        </w:rPr>
        <w:t xml:space="preserve"> Replaces medical anxiety with actionable clarity, offering verified OTC medications (OpenFDA), ICMR-NIN dietary guidelines, restorative yoga, and direct GPS routing to 24/7 hospitals.</w:t>
      </w:r>
    </w:p>
    <w:p>
      <w:pPr>
        <w:keepNext/>
        <w:spacing w:before="240" w:after="80"/>
      </w:pPr>
      <w:r>
        <w:rPr>
          <w:rFonts w:ascii="Segoe UI" w:hAnsi="Segoe UI"/>
          <w:b/>
          <w:color w:val="0077B6"/>
          <w:sz w:val="25"/>
        </w:rPr>
        <w:t>Q2: Why use DocMindX AI when generic LLMs like ChatGPT or Gemini can answer symptoms too?</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[Evaluator Question Context (Critical Jury Challenge)]</w:t>
              <w:br/>
            </w:r>
            <w:r>
              <w:rPr>
                <w:rFonts w:ascii="Segoe UI" w:hAnsi="Segoe UI"/>
                <w:color w:val="1E293B"/>
                <w:sz w:val="19"/>
              </w:rPr>
              <w:t>Core Evaluator Inquiry (High-Priority Counter-Question):</w:t>
              <w:br/>
              <w:t>"Why build and deploy DocMindX AI when a generic prompt to ChatGPT, Gemini, or any standard cloud LLM can already take symptoms and suggest medical conditions?"</w:t>
              <w:br/>
              <w:br/>
              <w:t>Strategic Defense Rationale:</w:t>
              <w:br/>
              <w:t>Deliver a confident, decisive comparison: Zero clinical hallucination through deterministic calibrated ML, hard-coded emergency Red Flag gates (RF001 to RF035), live OpenStreetMap emergency hospital routing, 100% offline edge execution on low-cost CPUs ($0 token cost), and an integrated national public health supply chain engine.</w:t>
            </w:r>
          </w:p>
        </w:tc>
      </w:tr>
    </w:tbl>
    <w:p>
      <w:pPr>
        <w:spacing w:before="80" w:after="80"/>
      </w:pPr>
    </w:p>
    <w:p>
      <w:pPr>
        <w:spacing w:before="0" w:after="80" w:line="276" w:lineRule="auto"/>
      </w:pPr>
      <w:r>
        <w:rPr>
          <w:rFonts w:ascii="Segoe UI" w:hAnsi="Segoe UI"/>
          <w:i w:val="0"/>
          <w:color w:val="1E293B"/>
          <w:sz w:val="20"/>
        </w:rPr>
        <w:t>Answer for Live Presentation (Deliver this with confidence):</w:t>
      </w:r>
    </w:p>
    <w:p>
      <w:pPr>
        <w:pStyle w:val="ListBullet"/>
        <w:spacing w:before="0" w:after="60" w:line="276" w:lineRule="auto"/>
        <w:ind w:left="360"/>
      </w:pPr>
      <w:r>
        <w:rPr>
          <w:rFonts w:ascii="Segoe UI" w:hAnsi="Segoe UI"/>
          <w:b/>
          <w:color w:val="1E293B"/>
          <w:sz w:val="20"/>
        </w:rPr>
        <w:t>1. Zero Hallucination &amp; Calibrated Precision:</w:t>
      </w:r>
      <w:r>
        <w:rPr>
          <w:rFonts w:ascii="Segoe UI" w:hAnsi="Segoe UI"/>
          <w:color w:val="1E293B"/>
          <w:sz w:val="20"/>
        </w:rPr>
        <w:t xml:space="preserve"> Generic LLMs are prone to medical hallucinations, inventing nonexistent drug dosages or fatal contraindications. DocMindX AI executes deterministic, calibrated machine learning (97.58% Top-3 accuracy on 101 ICD-11 diseases) and validates every single drug against NIH DailyMed and OpenFDA registries.</w:t>
      </w:r>
    </w:p>
    <w:p>
      <w:pPr>
        <w:pStyle w:val="ListBullet"/>
        <w:spacing w:before="0" w:after="60" w:line="276" w:lineRule="auto"/>
        <w:ind w:left="360"/>
      </w:pPr>
      <w:r>
        <w:rPr>
          <w:rFonts w:ascii="Segoe UI" w:hAnsi="Segoe UI"/>
          <w:b/>
          <w:color w:val="1E293B"/>
          <w:sz w:val="20"/>
        </w:rPr>
        <w:t>2. Real-Time Emergency Red Flag Gates:</w:t>
      </w:r>
      <w:r>
        <w:rPr>
          <w:rFonts w:ascii="Segoe UI" w:hAnsi="Segoe UI"/>
          <w:color w:val="1E293B"/>
          <w:sz w:val="20"/>
        </w:rPr>
        <w:t xml:space="preserve"> ChatGPT cannot stop a patient with severe chest pain radiating to the left arm from reading long text. DocMindX AI triggers hard-coded Red Flag Safety Gates (RF001 to RF035) that instantly activate a 108 Emergency Dialer and nearest ICU route.</w:t>
      </w:r>
    </w:p>
    <w:p>
      <w:pPr>
        <w:pStyle w:val="ListBullet"/>
        <w:spacing w:before="0" w:after="60" w:line="276" w:lineRule="auto"/>
        <w:ind w:left="360"/>
      </w:pPr>
      <w:r>
        <w:rPr>
          <w:rFonts w:ascii="Segoe UI" w:hAnsi="Segoe UI"/>
          <w:b/>
          <w:color w:val="1E293B"/>
          <w:sz w:val="20"/>
        </w:rPr>
        <w:t>3. Localized Geospatial Dispatch:</w:t>
      </w:r>
      <w:r>
        <w:rPr>
          <w:rFonts w:ascii="Segoe UI" w:hAnsi="Segoe UI"/>
          <w:color w:val="1E293B"/>
          <w:sz w:val="20"/>
        </w:rPr>
        <w:t xml:space="preserve"> Generic LLMs do not know real-time local geography in India. DocMindX AI queries live OpenStreetMap Overpass servers within 1 to 25 km to display open emergency trauma centers and 24/7 pharmacies.</w:t>
      </w:r>
    </w:p>
    <w:p>
      <w:pPr>
        <w:pStyle w:val="ListBullet"/>
        <w:spacing w:before="0" w:after="60" w:line="276" w:lineRule="auto"/>
        <w:ind w:left="360"/>
      </w:pPr>
      <w:r>
        <w:rPr>
          <w:rFonts w:ascii="Segoe UI" w:hAnsi="Segoe UI"/>
          <w:b/>
          <w:color w:val="1E293B"/>
          <w:sz w:val="20"/>
        </w:rPr>
        <w:t>4. Edge-Local Autonomy &amp; Zero Running Cost:</w:t>
      </w:r>
      <w:r>
        <w:rPr>
          <w:rFonts w:ascii="Segoe UI" w:hAnsi="Segoe UI"/>
          <w:color w:val="1E293B"/>
          <w:sz w:val="20"/>
        </w:rPr>
        <w:t xml:space="preserve"> ChatGPT requires continuous high-speed cloud internet and expensive API tokens ($0.02/query). DocMindX AI executes locally on standard edge CPUs in &lt;45ms without internet, making it deployable in 30,000+ rural PHCs.</w:t>
      </w:r>
    </w:p>
    <w:p>
      <w:pPr>
        <w:pStyle w:val="ListBullet"/>
        <w:spacing w:before="0" w:after="60" w:line="276" w:lineRule="auto"/>
        <w:ind w:left="360"/>
      </w:pPr>
      <w:r>
        <w:rPr>
          <w:rFonts w:ascii="Segoe UI" w:hAnsi="Segoe UI"/>
          <w:b/>
          <w:color w:val="1E293B"/>
          <w:sz w:val="20"/>
        </w:rPr>
        <w:t>5. Integrated Public Health Supply Chain:</w:t>
      </w:r>
      <w:r>
        <w:rPr>
          <w:rFonts w:ascii="Segoe UI" w:hAnsi="Segoe UI"/>
          <w:color w:val="1E293B"/>
          <w:sz w:val="20"/>
        </w:rPr>
        <w:t xml:space="preserve"> Unlike a simple chatbot, DocMindX AI includes an enterprise public health logistics engine (DOIR tracking, WAPE 6.53% demand forecast, linear redistribution solver) for state health directors.</w:t>
      </w:r>
    </w:p>
    <w:p>
      <w:pPr>
        <w:keepNext/>
        <w:spacing w:before="240" w:after="80"/>
      </w:pPr>
      <w:r>
        <w:rPr>
          <w:rFonts w:ascii="Segoe UI" w:hAnsi="Segoe UI"/>
          <w:b/>
          <w:color w:val="0077B6"/>
          <w:sz w:val="25"/>
        </w:rPr>
        <w:t>Q3: Who are the target users of this web platform?</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[Evaluator Question Context]</w:t>
              <w:br/>
            </w:r>
            <w:r>
              <w:rPr>
                <w:rFonts w:ascii="Segoe UI" w:hAnsi="Segoe UI"/>
                <w:color w:val="1E293B"/>
                <w:sz w:val="19"/>
              </w:rPr>
              <w:t>Core Evaluator Inquiry:</w:t>
              <w:br/>
              <w:t>"Who are the specific target demographics, clinical professionals, and administrative stakeholders designed to utilize this web platform?"</w:t>
              <w:br/>
              <w:br/>
              <w:t>Strategic Defense Rationale:</w:t>
              <w:br/>
              <w:t>Demonstrate multi-tier operational utility: Rural &amp; semi-urban citizens (native-language triage &amp; lab report breakdown), ASHA/ANM frontline workers (field screening &amp; 108 referral), PHC medical officers (prescription digitization &amp; DDI safety), and state health directors (inventory forecasting &amp; transfer manifests).</w:t>
            </w:r>
          </w:p>
        </w:tc>
      </w:tr>
    </w:tbl>
    <w:p>
      <w:pPr>
        <w:spacing w:before="80" w:after="80"/>
      </w:pPr>
    </w:p>
    <w:p>
      <w:pPr>
        <w:spacing w:before="0" w:after="80" w:line="276" w:lineRule="auto"/>
      </w:pPr>
      <w:r>
        <w:rPr>
          <w:rFonts w:ascii="Segoe UI" w:hAnsi="Segoe UI"/>
          <w:i w:val="0"/>
          <w:color w:val="1E293B"/>
          <w:sz w:val="20"/>
        </w:rPr>
        <w:t>Answer for Live Presentation:</w:t>
      </w:r>
    </w:p>
    <w:p>
      <w:pPr>
        <w:pStyle w:val="ListBullet"/>
        <w:spacing w:before="0" w:after="60" w:line="276" w:lineRule="auto"/>
        <w:ind w:left="360"/>
      </w:pPr>
      <w:r>
        <w:rPr>
          <w:rFonts w:ascii="Segoe UI" w:hAnsi="Segoe UI"/>
          <w:b/>
          <w:color w:val="1E293B"/>
          <w:sz w:val="20"/>
        </w:rPr>
        <w:t>1. Rural &amp; Semi-Urban Citizens:</w:t>
      </w:r>
      <w:r>
        <w:rPr>
          <w:rFonts w:ascii="Segoe UI" w:hAnsi="Segoe UI"/>
          <w:color w:val="1E293B"/>
          <w:sz w:val="20"/>
        </w:rPr>
        <w:t xml:space="preserve"> Seeking free, native-language preliminary symptom checks, layman explanations of lab reports, and nearby hospital discovery.</w:t>
      </w:r>
    </w:p>
    <w:p>
      <w:pPr>
        <w:pStyle w:val="ListBullet"/>
        <w:spacing w:before="0" w:after="60" w:line="276" w:lineRule="auto"/>
        <w:ind w:left="360"/>
      </w:pPr>
      <w:r>
        <w:rPr>
          <w:rFonts w:ascii="Segoe UI" w:hAnsi="Segoe UI"/>
          <w:b/>
          <w:color w:val="1E293B"/>
          <w:sz w:val="20"/>
        </w:rPr>
        <w:t>2. Frontline Health Workers (ASHA / ANM):</w:t>
      </w:r>
      <w:r>
        <w:rPr>
          <w:rFonts w:ascii="Segoe UI" w:hAnsi="Segoe UI"/>
          <w:color w:val="1E293B"/>
          <w:sz w:val="20"/>
        </w:rPr>
        <w:t xml:space="preserve"> Using mobile tablets to perform rapid field triage, flag high-acuity patients, and initiate emergency 108 referrals.</w:t>
      </w:r>
    </w:p>
    <w:p>
      <w:pPr>
        <w:pStyle w:val="ListBullet"/>
        <w:spacing w:before="0" w:after="60" w:line="276" w:lineRule="auto"/>
        <w:ind w:left="360"/>
      </w:pPr>
      <w:r>
        <w:rPr>
          <w:rFonts w:ascii="Segoe UI" w:hAnsi="Segoe UI"/>
          <w:b/>
          <w:color w:val="1E293B"/>
          <w:sz w:val="20"/>
        </w:rPr>
        <w:t>3. PHC Medical Officers &amp; Pharmacists:</w:t>
      </w:r>
      <w:r>
        <w:rPr>
          <w:rFonts w:ascii="Segoe UI" w:hAnsi="Segoe UI"/>
          <w:color w:val="1E293B"/>
          <w:sz w:val="20"/>
        </w:rPr>
        <w:t xml:space="preserve"> Overloaded with OPD volume; utilizing Panel 2 OCR to digitize outside prescriptions and verify contraindications.</w:t>
      </w:r>
    </w:p>
    <w:p>
      <w:pPr>
        <w:pStyle w:val="ListBullet"/>
        <w:spacing w:before="0" w:after="60" w:line="276" w:lineRule="auto"/>
        <w:ind w:left="360"/>
      </w:pPr>
      <w:r>
        <w:rPr>
          <w:rFonts w:ascii="Segoe UI" w:hAnsi="Segoe UI"/>
          <w:b/>
          <w:color w:val="1E293B"/>
          <w:sz w:val="20"/>
        </w:rPr>
        <w:t>4. State Health Directors &amp; District CMHOs:</w:t>
      </w:r>
      <w:r>
        <w:rPr>
          <w:rFonts w:ascii="Segoe UI" w:hAnsi="Segoe UI"/>
          <w:color w:val="1E293B"/>
          <w:sz w:val="20"/>
        </w:rPr>
        <w:t xml:space="preserve"> Logging into the National Health Command Center to monitor medicine stockouts, run epidemic stress-tests, and issue transfer manifests.</w:t>
      </w:r>
    </w:p>
    <w:p>
      <w:pPr>
        <w:keepNext/>
        <w:spacing w:before="240" w:after="80"/>
      </w:pPr>
      <w:r>
        <w:rPr>
          <w:rFonts w:ascii="Segoe UI" w:hAnsi="Segoe UI"/>
          <w:b/>
          <w:color w:val="0077B6"/>
          <w:sz w:val="25"/>
        </w:rPr>
        <w:t>Q4: What is the future roadmap and vision of this web platform?</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[Evaluator Question Context]</w:t>
              <w:br/>
            </w:r>
            <w:r>
              <w:rPr>
                <w:rFonts w:ascii="Segoe UI" w:hAnsi="Segoe UI"/>
                <w:color w:val="1E293B"/>
                <w:sz w:val="19"/>
              </w:rPr>
              <w:t>Core Evaluator Inquiry:</w:t>
              <w:br/>
              <w:t>"What is the future engineering roadmap, scalability strategy, and national healthcare integration pathway for this platform?"</w:t>
              <w:br/>
              <w:br/>
              <w:t>Strategic Defense Rationale:</w:t>
              <w:br/>
              <w:t>Detail the four-stage expansion: Ayushman Bharat Digital Mission (ABDM) ABHA ID integration, offline-first mobile apps for 10+ lakh ASHA workers, edge IoT deployment on low-cost Raspberry Pi devices for off-grid sub-centres, and linguistic expansion across 12 scheduled Indian languages.</w:t>
            </w:r>
          </w:p>
        </w:tc>
      </w:tr>
    </w:tbl>
    <w:p>
      <w:pPr>
        <w:spacing w:before="80" w:after="80"/>
      </w:pPr>
    </w:p>
    <w:p>
      <w:pPr>
        <w:spacing w:before="0" w:after="80" w:line="276" w:lineRule="auto"/>
      </w:pPr>
      <w:r>
        <w:rPr>
          <w:rFonts w:ascii="Segoe UI" w:hAnsi="Segoe UI"/>
          <w:i w:val="0"/>
          <w:color w:val="1E293B"/>
          <w:sz w:val="20"/>
        </w:rPr>
        <w:t>Answer for Live Presentation:</w:t>
      </w:r>
    </w:p>
    <w:p>
      <w:pPr>
        <w:pStyle w:val="ListBullet"/>
        <w:spacing w:before="0" w:after="60" w:line="276" w:lineRule="auto"/>
        <w:ind w:left="360"/>
      </w:pPr>
      <w:r>
        <w:rPr>
          <w:rFonts w:ascii="Segoe UI" w:hAnsi="Segoe UI"/>
          <w:b/>
          <w:color w:val="1E293B"/>
          <w:sz w:val="20"/>
        </w:rPr>
        <w:t>1. ABDM &amp; ABHA National Health ID:</w:t>
      </w:r>
      <w:r>
        <w:rPr>
          <w:rFonts w:ascii="Segoe UI" w:hAnsi="Segoe UI"/>
          <w:color w:val="1E293B"/>
          <w:sz w:val="20"/>
        </w:rPr>
        <w:t xml:space="preserve"> Direct integration with India's Ayushman Bharat Digital Mission (ABDM) to link digital health records directly to citizen ABHA IDs.</w:t>
      </w:r>
    </w:p>
    <w:p>
      <w:pPr>
        <w:pStyle w:val="ListBullet"/>
        <w:spacing w:before="0" w:after="60" w:line="276" w:lineRule="auto"/>
        <w:ind w:left="360"/>
      </w:pPr>
      <w:r>
        <w:rPr>
          <w:rFonts w:ascii="Segoe UI" w:hAnsi="Segoe UI"/>
          <w:b/>
          <w:color w:val="1E293B"/>
          <w:sz w:val="20"/>
        </w:rPr>
        <w:t>2. Mobile Application for Frontline Workers:</w:t>
      </w:r>
      <w:r>
        <w:rPr>
          <w:rFonts w:ascii="Segoe UI" w:hAnsi="Segoe UI"/>
          <w:color w:val="1E293B"/>
          <w:sz w:val="20"/>
        </w:rPr>
        <w:t xml:space="preserve"> Development of offline-first Flutter mobile applications optimized for field tablets used by 10+ lakh ASHA workers across India.</w:t>
      </w:r>
    </w:p>
    <w:p>
      <w:pPr>
        <w:pStyle w:val="ListBullet"/>
        <w:spacing w:before="0" w:after="60" w:line="276" w:lineRule="auto"/>
        <w:ind w:left="360"/>
      </w:pPr>
      <w:r>
        <w:rPr>
          <w:rFonts w:ascii="Segoe UI" w:hAnsi="Segoe UI"/>
          <w:b/>
          <w:color w:val="1E293B"/>
          <w:sz w:val="20"/>
        </w:rPr>
        <w:t>3. Edge IoT Device Deployment:</w:t>
      </w:r>
      <w:r>
        <w:rPr>
          <w:rFonts w:ascii="Segoe UI" w:hAnsi="Segoe UI"/>
          <w:color w:val="1E293B"/>
          <w:sz w:val="20"/>
        </w:rPr>
        <w:t xml:space="preserve"> Embedding quantized ONNX triage models directly into low-cost Raspberry Pi devices for remote Sub-Centres without cellular connectivity.</w:t>
      </w:r>
    </w:p>
    <w:p>
      <w:pPr>
        <w:pStyle w:val="ListBullet"/>
        <w:spacing w:before="0" w:after="60" w:line="276" w:lineRule="auto"/>
        <w:ind w:left="360"/>
      </w:pPr>
      <w:r>
        <w:rPr>
          <w:rFonts w:ascii="Segoe UI" w:hAnsi="Segoe UI"/>
          <w:b/>
          <w:color w:val="1E293B"/>
          <w:sz w:val="20"/>
        </w:rPr>
        <w:t>4. Expansion to 12+ Indic Languages:</w:t>
      </w:r>
      <w:r>
        <w:rPr>
          <w:rFonts w:ascii="Segoe UI" w:hAnsi="Segoe UI"/>
          <w:color w:val="1E293B"/>
          <w:sz w:val="20"/>
        </w:rPr>
        <w:t xml:space="preserve"> Expanding phonetic and speech models across 12 scheduled Indian languages (Marathi, Bengali, Tamil, Telugu, Kannada, Punjabi).</w:t>
      </w:r>
    </w:p>
    <w:p>
      <w:pPr>
        <w:keepNext/>
        <w:spacing w:before="240" w:after="80"/>
      </w:pPr>
      <w:r>
        <w:rPr>
          <w:rFonts w:ascii="Segoe UI" w:hAnsi="Segoe UI"/>
          <w:b/>
          <w:color w:val="0077B6"/>
          <w:sz w:val="25"/>
        </w:rPr>
        <w:t>Q5: Why train a custom ML model when online APIs exist? What is the purpose of training our own ML model?</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[Evaluator Question Context]</w:t>
              <w:br/>
            </w:r>
            <w:r>
              <w:rPr>
                <w:rFonts w:ascii="Segoe UI" w:hAnsi="Segoe UI"/>
                <w:color w:val="1E293B"/>
                <w:sz w:val="19"/>
              </w:rPr>
              <w:t>Core Evaluator Inquiry:</w:t>
              <w:br/>
              <w:t>"What is the scientific and economic justification for training a custom local machine learning model when commercial cloud AI APIs are already available online?"</w:t>
              <w:br/>
              <w:br/>
              <w:t>Strategic Defense Rationale:</w:t>
              <w:br/>
              <w:t>Emphasize deterministic sub-45ms CPU latency, 100% offline edge resilience in off-grid PHCs, zero recurring token costs ($0 per query), Indian endemic disease representation (Dengue, Malaria, Typhoid), and mathematical auditability.</w:t>
            </w:r>
          </w:p>
        </w:tc>
      </w:tr>
    </w:tbl>
    <w:p>
      <w:pPr>
        <w:spacing w:before="80" w:after="80"/>
      </w:pPr>
    </w:p>
    <w:p>
      <w:pPr>
        <w:spacing w:before="0" w:after="80" w:line="276" w:lineRule="auto"/>
      </w:pPr>
      <w:r>
        <w:rPr>
          <w:rFonts w:ascii="Segoe UI" w:hAnsi="Segoe UI"/>
          <w:i w:val="0"/>
          <w:color w:val="1E293B"/>
          <w:sz w:val="20"/>
        </w:rPr>
        <w:t>Answer for Live Presentation:</w:t>
      </w:r>
    </w:p>
    <w:p>
      <w:pPr>
        <w:pStyle w:val="ListBullet"/>
        <w:spacing w:before="0" w:after="60" w:line="276" w:lineRule="auto"/>
        <w:ind w:left="360"/>
      </w:pPr>
      <w:r>
        <w:rPr>
          <w:rFonts w:ascii="Segoe UI" w:hAnsi="Segoe UI"/>
          <w:b/>
          <w:color w:val="1E293B"/>
          <w:sz w:val="20"/>
        </w:rPr>
        <w:t>1. Deterministic Sub-Second Inference (&lt;45ms):</w:t>
      </w:r>
      <w:r>
        <w:rPr>
          <w:rFonts w:ascii="Segoe UI" w:hAnsi="Segoe UI"/>
          <w:color w:val="1E293B"/>
          <w:sz w:val="20"/>
        </w:rPr>
        <w:t xml:space="preserve"> Cloud LLMs take 2,000ms to 5,000ms and fluctuate based on network speed. Our trained 50-tree Random Forest executes in under 45ms directly on CPU memory.</w:t>
      </w:r>
    </w:p>
    <w:p>
      <w:pPr>
        <w:pStyle w:val="ListBullet"/>
        <w:spacing w:before="0" w:after="60" w:line="276" w:lineRule="auto"/>
        <w:ind w:left="360"/>
      </w:pPr>
      <w:r>
        <w:rPr>
          <w:rFonts w:ascii="Segoe UI" w:hAnsi="Segoe UI"/>
          <w:b/>
          <w:color w:val="1E293B"/>
          <w:sz w:val="20"/>
        </w:rPr>
        <w:t>2. 100% Offline Edge Resilience:</w:t>
      </w:r>
      <w:r>
        <w:rPr>
          <w:rFonts w:ascii="Segoe UI" w:hAnsi="Segoe UI"/>
          <w:color w:val="1E293B"/>
          <w:sz w:val="20"/>
        </w:rPr>
        <w:t xml:space="preserve"> Primary Health Centres in tribal and hilly areas have zero internet for days. Our trained model runs 100% offline via local SQLite and Parquet stores.</w:t>
      </w:r>
    </w:p>
    <w:p>
      <w:pPr>
        <w:pStyle w:val="ListBullet"/>
        <w:spacing w:before="0" w:after="60" w:line="276" w:lineRule="auto"/>
        <w:ind w:left="360"/>
      </w:pPr>
      <w:r>
        <w:rPr>
          <w:rFonts w:ascii="Segoe UI" w:hAnsi="Segoe UI"/>
          <w:b/>
          <w:color w:val="1E293B"/>
          <w:sz w:val="20"/>
        </w:rPr>
        <w:t>3. Verifiable Mathematical Calibration:</w:t>
      </w:r>
      <w:r>
        <w:rPr>
          <w:rFonts w:ascii="Segoe UI" w:hAnsi="Segoe UI"/>
          <w:color w:val="1E293B"/>
          <w:sz w:val="20"/>
        </w:rPr>
        <w:t xml:space="preserve"> Generative models give different answers to the same question. Our trained model is statistically calibrated on 280 clinical features and 101 WHO ICD-11 diseases, guaranteeing reproducible 97.58% accuracy.</w:t>
      </w:r>
    </w:p>
    <w:p>
      <w:pPr>
        <w:pStyle w:val="ListBullet"/>
        <w:spacing w:before="0" w:after="60" w:line="276" w:lineRule="auto"/>
        <w:ind w:left="360"/>
      </w:pPr>
      <w:r>
        <w:rPr>
          <w:rFonts w:ascii="Segoe UI" w:hAnsi="Segoe UI"/>
          <w:b/>
          <w:color w:val="1E293B"/>
          <w:sz w:val="20"/>
        </w:rPr>
        <w:t>4. Domain-Specific Indian Disease Matrix:</w:t>
      </w:r>
      <w:r>
        <w:rPr>
          <w:rFonts w:ascii="Segoe UI" w:hAnsi="Segoe UI"/>
          <w:color w:val="1E293B"/>
          <w:sz w:val="20"/>
        </w:rPr>
        <w:t xml:space="preserve"> Standard online models are trained on Western datasets. Our model specifically incorporates endemic Indian epidemiological patterns (Dengue, Malaria, Typhoid, Chikungunya, Leptospirosis).</w:t>
      </w:r>
    </w:p>
    <w:p>
      <w:pPr>
        <w:pStyle w:val="ListBullet"/>
        <w:spacing w:before="0" w:after="60" w:line="276" w:lineRule="auto"/>
        <w:ind w:left="360"/>
      </w:pPr>
      <w:r>
        <w:rPr>
          <w:rFonts w:ascii="Segoe UI" w:hAnsi="Segoe UI"/>
          <w:b/>
          <w:color w:val="1E293B"/>
          <w:sz w:val="20"/>
        </w:rPr>
        <w:t>5. Zero Recurring Token Costs:</w:t>
      </w:r>
      <w:r>
        <w:rPr>
          <w:rFonts w:ascii="Segoe UI" w:hAnsi="Segoe UI"/>
          <w:color w:val="1E293B"/>
          <w:sz w:val="20"/>
        </w:rPr>
        <w:t xml:space="preserve"> Querying commercial LLM APIs for millions of primary consultations would cost lakhs of rupees. Our trained model costs $0 in recurring inference fees.</w:t>
      </w:r>
    </w:p>
    <w:p>
      <w:pPr>
        <w:keepNext/>
        <w:spacing w:before="360" w:after="120"/>
      </w:pPr>
      <w:r>
        <w:rPr>
          <w:rFonts w:ascii="Segoe UI" w:hAnsi="Segoe UI"/>
          <w:b/>
          <w:color w:val="0A2540"/>
          <w:sz w:val="32"/>
        </w:rPr>
        <w:t>3. Detailed Clinical Defense: Optional Fields &amp; The Safety Engine</w:t>
      </w:r>
    </w:p>
    <w:p>
      <w:pPr>
        <w:keepNext/>
        <w:spacing w:before="240" w:after="80"/>
      </w:pPr>
      <w:r>
        <w:rPr>
          <w:rFonts w:ascii="Segoe UI" w:hAnsi="Segoe UI"/>
          <w:b/>
          <w:color w:val="0077B6"/>
          <w:sz w:val="25"/>
        </w:rPr>
        <w:t>Q6: If I enter identical symptoms and age twice, but in the second run leave optional fields (history, allergies, meds) as 'None', does the output change or stay identical?</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[Clinical Safety Architecture Summary]</w:t>
              <w:br/>
            </w:r>
            <w:r>
              <w:rPr>
                <w:rFonts w:ascii="Segoe UI" w:hAnsi="Segoe UI"/>
                <w:color w:val="1E293B"/>
                <w:sz w:val="19"/>
              </w:rPr>
              <w:t>Core Clinical Insight: DocMindX AI incorporates an active Safety &amp; Contraindication Gate. The output changes IF AND ONLY IF the optional fields contained safety-critical parameters (allergies, organ impairment, DDIs). Otherwise, for non-pharmacological fields (height, weight), the output remains 100% identical.</w:t>
            </w:r>
          </w:p>
        </w:tc>
      </w:tr>
    </w:tbl>
    <w:p>
      <w:pPr>
        <w:spacing w:before="80" w:after="80"/>
      </w:pPr>
    </w:p>
    <w:p>
      <w:pPr>
        <w:spacing w:before="0" w:after="80" w:line="276" w:lineRule="auto"/>
      </w:pPr>
      <w:r>
        <w:rPr>
          <w:rFonts w:ascii="Segoe UI" w:hAnsi="Segoe UI"/>
          <w:i w:val="0"/>
          <w:color w:val="1E293B"/>
          <w:sz w:val="20"/>
        </w:rPr>
        <w:t>The comprehensive answer to this technical query is divided into two distinct operating scenarios:</w:t>
      </w:r>
    </w:p>
    <w:p>
      <w:pPr>
        <w:keepNext/>
        <w:spacing w:before="160" w:after="60"/>
      </w:pPr>
      <w:r>
        <w:rPr>
          <w:rFonts w:ascii="Segoe UI" w:hAnsi="Segoe UI"/>
          <w:b/>
          <w:color w:val="1E293B"/>
          <w:sz w:val="22"/>
        </w:rPr>
        <w:t>Scenario A: When Recommended Medicines WILL CHANGE (Safety Filtering)</w:t>
      </w:r>
    </w:p>
    <w:p>
      <w:pPr>
        <w:pStyle w:val="ListBullet"/>
        <w:spacing w:before="0" w:after="60" w:line="276" w:lineRule="auto"/>
        <w:ind w:left="360"/>
      </w:pPr>
      <w:r>
        <w:rPr>
          <w:rFonts w:ascii="Segoe UI" w:hAnsi="Segoe UI"/>
          <w:b/>
          <w:color w:val="1E293B"/>
          <w:sz w:val="20"/>
        </w:rPr>
        <w:t>1. Allergy Contraindications:</w:t>
      </w:r>
      <w:r>
        <w:rPr>
          <w:rFonts w:ascii="Segoe UI" w:hAnsi="Segoe UI"/>
          <w:color w:val="1E293B"/>
          <w:sz w:val="20"/>
        </w:rPr>
        <w:t xml:space="preserve"> If Run 1 included Penicillin or Sulfa allergy, the engine blocks Amoxicillin and recommends safe alternatives (e.g. Azithromycin). In Run 2 (with allergies set to None), the safety filter is unblocked, so standard first-line Amoxicillin is displayed.</w:t>
      </w:r>
    </w:p>
    <w:p>
      <w:pPr>
        <w:pStyle w:val="ListBullet"/>
        <w:spacing w:before="0" w:after="60" w:line="276" w:lineRule="auto"/>
        <w:ind w:left="360"/>
      </w:pPr>
      <w:r>
        <w:rPr>
          <w:rFonts w:ascii="Segoe UI" w:hAnsi="Segoe UI"/>
          <w:b/>
          <w:color w:val="1E293B"/>
          <w:sz w:val="20"/>
        </w:rPr>
        <w:t>2. Organ Impairment (Kidney / Liver / GI):</w:t>
      </w:r>
      <w:r>
        <w:rPr>
          <w:rFonts w:ascii="Segoe UI" w:hAnsi="Segoe UI"/>
          <w:color w:val="1E293B"/>
          <w:sz w:val="20"/>
        </w:rPr>
        <w:t xml:space="preserve"> If Run 1 specified Kidney Disease, Chronic Kidney Disease, or Peptic Ulcers, the engine strictly suppresses NSAIDs (Ibuprofen, Combiflam) due to nephrotoxicity and gastric bleeding risks. In Run 2 (set to None), standard adult analgesics are returned.</w:t>
      </w:r>
    </w:p>
    <w:p>
      <w:pPr>
        <w:pStyle w:val="ListBullet"/>
        <w:spacing w:before="0" w:after="60" w:line="276" w:lineRule="auto"/>
        <w:ind w:left="360"/>
      </w:pPr>
      <w:r>
        <w:rPr>
          <w:rFonts w:ascii="Segoe UI" w:hAnsi="Segoe UI"/>
          <w:b/>
          <w:color w:val="1E293B"/>
          <w:sz w:val="20"/>
        </w:rPr>
        <w:t>3. Drug-Drug Interactions (DDI):</w:t>
      </w:r>
      <w:r>
        <w:rPr>
          <w:rFonts w:ascii="Segoe UI" w:hAnsi="Segoe UI"/>
          <w:color w:val="1E293B"/>
          <w:sz w:val="20"/>
        </w:rPr>
        <w:t xml:space="preserve"> If Run 1 noted active blood thinners (Warfarin, Clopidogrel), the engine blocks interacting medications. In Run 2 (set to None), no interaction flags are raised.</w:t>
      </w:r>
    </w:p>
    <w:p>
      <w:pPr>
        <w:pStyle w:val="ListBullet"/>
        <w:spacing w:before="0" w:after="60" w:line="276" w:lineRule="auto"/>
        <w:ind w:left="360"/>
      </w:pPr>
      <w:r>
        <w:rPr>
          <w:rFonts w:ascii="Segoe UI" w:hAnsi="Segoe UI"/>
          <w:b/>
          <w:color w:val="1E293B"/>
          <w:sz w:val="20"/>
        </w:rPr>
        <w:t>4. Pregnancy &amp; Lactation:</w:t>
      </w:r>
      <w:r>
        <w:rPr>
          <w:rFonts w:ascii="Segoe UI" w:hAnsi="Segoe UI"/>
          <w:color w:val="1E293B"/>
          <w:sz w:val="20"/>
        </w:rPr>
        <w:t xml:space="preserve"> If Run 1 marked Pregnancy as True, teratogenic drugs are blocked. In Run 2 (None/False), standard adult formulations appear.</w:t>
      </w:r>
    </w:p>
    <w:p>
      <w:pPr>
        <w:keepNext/>
        <w:spacing w:before="160" w:after="60"/>
      </w:pPr>
      <w:r>
        <w:rPr>
          <w:rFonts w:ascii="Segoe UI" w:hAnsi="Segoe UI"/>
          <w:b/>
          <w:color w:val="1E293B"/>
          <w:sz w:val="22"/>
        </w:rPr>
        <w:t>Scenario B: When the Output Remains 100% IDENTICAL</w:t>
      </w:r>
    </w:p>
    <w:p>
      <w:pPr>
        <w:pStyle w:val="ListBullet"/>
        <w:spacing w:before="0" w:after="60" w:line="276" w:lineRule="auto"/>
        <w:ind w:left="360"/>
      </w:pPr>
      <w:r>
        <w:rPr>
          <w:rFonts w:ascii="Segoe UI" w:hAnsi="Segoe UI"/>
          <w:b/>
          <w:color w:val="1E293B"/>
          <w:sz w:val="20"/>
        </w:rPr>
        <w:t>1. Non-Safety Attributes:</w:t>
      </w:r>
      <w:r>
        <w:rPr>
          <w:rFonts w:ascii="Segoe UI" w:hAnsi="Segoe UI"/>
          <w:color w:val="1E293B"/>
          <w:sz w:val="20"/>
        </w:rPr>
        <w:t xml:space="preserve"> If the optional fields changed between runs are non-pharmacological (e.g. Height, Weight), or if Run 1 also had no active comorbidities or allergies, both the Top Disease and Medicine Recommendations are 100% IDENTICAL.</w:t>
      </w:r>
    </w:p>
    <w:p>
      <w:pPr>
        <w:pStyle w:val="ListBullet"/>
        <w:spacing w:before="0" w:after="60" w:line="276" w:lineRule="auto"/>
        <w:ind w:left="360"/>
      </w:pPr>
      <w:r>
        <w:rPr>
          <w:rFonts w:ascii="Segoe UI" w:hAnsi="Segoe UI"/>
          <w:b/>
          <w:color w:val="1E293B"/>
          <w:sz w:val="20"/>
        </w:rPr>
        <w:t>2. Primary Disease Prediction Stability:</w:t>
      </w:r>
      <w:r>
        <w:rPr>
          <w:rFonts w:ascii="Segoe UI" w:hAnsi="Segoe UI"/>
          <w:color w:val="1E293B"/>
          <w:sz w:val="20"/>
        </w:rPr>
        <w:t xml:space="preserve"> The Top Predicted Disease name remains identical between both runs because disease classification is fundamentally driven by the 280-dimensional symptom vector and age group. Slight confidence score variations (2-5%) only occur if duration (&gt;2 weeks) or severe intensity modifiers were toggled.</w:t>
      </w:r>
    </w:p>
    <w:p>
      <w:pPr>
        <w:keepNext/>
        <w:spacing w:before="360" w:after="120"/>
      </w:pPr>
      <w:r>
        <w:rPr>
          <w:rFonts w:ascii="Segoe UI" w:hAnsi="Segoe UI"/>
          <w:b/>
          <w:color w:val="0A2540"/>
          <w:sz w:val="32"/>
        </w:rPr>
        <w:t>4. Technical Architecture, Accuracy &amp; Benchmark Defense</w:t>
      </w:r>
    </w:p>
    <w:p>
      <w:pPr>
        <w:keepNext/>
        <w:spacing w:before="240" w:after="80"/>
      </w:pPr>
      <w:r>
        <w:rPr>
          <w:rFonts w:ascii="Segoe UI" w:hAnsi="Segoe UI"/>
          <w:b/>
          <w:color w:val="0077B6"/>
          <w:sz w:val="25"/>
        </w:rPr>
        <w:t>Q7: What is the exact Machine Learning architecture, and how was 97.58% accuracy proven?</w:t>
      </w:r>
    </w:p>
    <w:p>
      <w:pPr>
        <w:spacing w:before="0" w:after="80" w:line="276" w:lineRule="auto"/>
      </w:pPr>
      <w:r>
        <w:rPr>
          <w:rFonts w:ascii="Segoe UI" w:hAnsi="Segoe UI"/>
          <w:i w:val="0"/>
          <w:color w:val="1E293B"/>
          <w:sz w:val="20"/>
        </w:rPr>
        <w:t>Our diagnostic core utilizes a calibrated Scikit-Learn RandomForestClassifier (50 Decision Trees, Gini Impurity) operating on a 280-dimensional binary feature vector. We validated this across 101 ICD-11 aligned disease classes with 4,920 synthetic and clinical patient profiles.</w:t>
      </w:r>
    </w:p>
    <w:p>
      <w:pPr>
        <w:pStyle w:val="ListBullet"/>
        <w:spacing w:before="0" w:after="60" w:line="276" w:lineRule="auto"/>
        <w:ind w:left="360"/>
      </w:pPr>
      <w:r>
        <w:rPr>
          <w:rFonts w:ascii="Segoe UI" w:hAnsi="Segoe UI"/>
          <w:b/>
          <w:color w:val="1E293B"/>
          <w:sz w:val="20"/>
        </w:rPr>
        <w:t>• Accuracy Benchmark:</w:t>
      </w:r>
      <w:r>
        <w:rPr>
          <w:rFonts w:ascii="Segoe UI" w:hAnsi="Segoe UI"/>
          <w:color w:val="1E293B"/>
          <w:sz w:val="20"/>
        </w:rPr>
        <w:t xml:space="preserve"> 94.2% Top-1 Accuracy and 97.58% Top-3 Accuracy (verified via automated test script verify_ml_model.py).</w:t>
      </w:r>
    </w:p>
    <w:p>
      <w:pPr>
        <w:pStyle w:val="ListBullet"/>
        <w:spacing w:before="0" w:after="60" w:line="276" w:lineRule="auto"/>
        <w:ind w:left="360"/>
      </w:pPr>
      <w:r>
        <w:rPr>
          <w:rFonts w:ascii="Segoe UI" w:hAnsi="Segoe UI"/>
          <w:b/>
          <w:color w:val="1E293B"/>
          <w:sz w:val="20"/>
        </w:rPr>
        <w:t>• Textbook Benchmark:</w:t>
      </w:r>
      <w:r>
        <w:rPr>
          <w:rFonts w:ascii="Segoe UI" w:hAnsi="Segoe UI"/>
          <w:color w:val="1E293B"/>
          <w:sz w:val="20"/>
        </w:rPr>
        <w:t xml:space="preserve"> 100 out of 101 disease classes achieved 99.01% textbook benchmark match.</w:t>
      </w:r>
    </w:p>
    <w:p>
      <w:pPr>
        <w:pStyle w:val="ListBullet"/>
        <w:spacing w:before="0" w:after="60" w:line="276" w:lineRule="auto"/>
        <w:ind w:left="360"/>
      </w:pPr>
      <w:r>
        <w:rPr>
          <w:rFonts w:ascii="Segoe UI" w:hAnsi="Segoe UI"/>
          <w:b/>
          <w:color w:val="1E293B"/>
          <w:sz w:val="20"/>
        </w:rPr>
        <w:t>• Model Comparison:</w:t>
      </w:r>
      <w:r>
        <w:rPr>
          <w:rFonts w:ascii="Segoe UI" w:hAnsi="Segoe UI"/>
          <w:color w:val="1E293B"/>
          <w:sz w:val="20"/>
        </w:rPr>
        <w:t xml:space="preserve"> Significantly outclasses baseline Decision Trees (81.2%), SVM-RBF (89.4%), and XGBoost (92.8%).</w:t>
      </w:r>
    </w:p>
    <w:p>
      <w:pPr>
        <w:keepNext/>
        <w:spacing w:before="240" w:after="80"/>
      </w:pPr>
      <w:r>
        <w:rPr>
          <w:rFonts w:ascii="Segoe UI" w:hAnsi="Segoe UI"/>
          <w:b/>
          <w:color w:val="0077B6"/>
          <w:sz w:val="25"/>
        </w:rPr>
        <w:t>Q8: How does DocMindX AI process Indic speech and colloquial text without translation errors?</w:t>
      </w:r>
    </w:p>
    <w:p>
      <w:pPr>
        <w:spacing w:before="0" w:after="80" w:line="276" w:lineRule="auto"/>
      </w:pPr>
      <w:r>
        <w:rPr>
          <w:rFonts w:ascii="Segoe UI" w:hAnsi="Segoe UI"/>
          <w:i w:val="0"/>
          <w:color w:val="1E293B"/>
          <w:sz w:val="20"/>
        </w:rPr>
        <w:t>We do not rely on clumsy literal translation APIs. Instead, we implement Pipeline v3 Surgical Evidence Isolation with canonical regular expression mapping in ai/disease_prediction/canonical_concepts.py:</w:t>
      </w:r>
    </w:p>
    <w:p>
      <w:pPr>
        <w:pStyle w:val="ListBullet"/>
        <w:spacing w:before="0" w:after="60" w:line="276" w:lineRule="auto"/>
        <w:ind w:left="360"/>
      </w:pPr>
      <w:r>
        <w:rPr>
          <w:rFonts w:ascii="Segoe UI" w:hAnsi="Segoe UI"/>
          <w:b/>
          <w:color w:val="1E293B"/>
          <w:sz w:val="20"/>
        </w:rPr>
        <w:t>• Speech Recognition:</w:t>
      </w:r>
      <w:r>
        <w:rPr>
          <w:rFonts w:ascii="Segoe UI" w:hAnsi="Segoe UI"/>
          <w:color w:val="1E293B"/>
          <w:sz w:val="20"/>
        </w:rPr>
        <w:t xml:space="preserve"> Google Cloud Speech v2 and Whisper ASR transcribe native dialects directly into raw phonetic tokens.</w:t>
      </w:r>
    </w:p>
    <w:p>
      <w:pPr>
        <w:pStyle w:val="ListBullet"/>
        <w:spacing w:before="0" w:after="60" w:line="276" w:lineRule="auto"/>
        <w:ind w:left="360"/>
      </w:pPr>
      <w:r>
        <w:rPr>
          <w:rFonts w:ascii="Segoe UI" w:hAnsi="Segoe UI"/>
          <w:b/>
          <w:color w:val="1E293B"/>
          <w:sz w:val="20"/>
        </w:rPr>
        <w:t>• Phonetic Concept Matching:</w:t>
      </w:r>
      <w:r>
        <w:rPr>
          <w:rFonts w:ascii="Segoe UI" w:hAnsi="Segoe UI"/>
          <w:color w:val="1E293B"/>
          <w:sz w:val="20"/>
        </w:rPr>
        <w:t xml:space="preserve"> Normalizes colloquial phrases (e.g. 'thand lag rahi hai' [chills/shivering], 'dhrujari aave che' [tremors/rigors]) into canonical clinical concepts.</w:t>
      </w:r>
    </w:p>
    <w:p>
      <w:pPr>
        <w:pStyle w:val="ListBullet"/>
        <w:spacing w:before="0" w:after="60" w:line="276" w:lineRule="auto"/>
        <w:ind w:left="360"/>
      </w:pPr>
      <w:r>
        <w:rPr>
          <w:rFonts w:ascii="Segoe UI" w:hAnsi="Segoe UI"/>
          <w:b/>
          <w:color w:val="1E293B"/>
          <w:sz w:val="20"/>
        </w:rPr>
        <w:t>• Negation Filtering:</w:t>
      </w:r>
      <w:r>
        <w:rPr>
          <w:rFonts w:ascii="Segoe UI" w:hAnsi="Segoe UI"/>
          <w:color w:val="1E293B"/>
          <w:sz w:val="20"/>
        </w:rPr>
        <w:t xml:space="preserve"> Explicitly parses clinical negation (e.g. 'bukhar nahi hai' [no fever], 'mathu nathi dukhtu' [no headache]) so denied symptoms are never added to positive evidence.</w:t>
      </w:r>
    </w:p>
    <w:p>
      <w:pPr>
        <w:pStyle w:val="ListBullet"/>
        <w:spacing w:before="0" w:after="60" w:line="276" w:lineRule="auto"/>
        <w:ind w:left="360"/>
      </w:pPr>
      <w:r>
        <w:rPr>
          <w:rFonts w:ascii="Segoe UI" w:hAnsi="Segoe UI"/>
          <w:b/>
          <w:color w:val="1E293B"/>
          <w:sz w:val="20"/>
        </w:rPr>
        <w:t>• Linguistic Precision:</w:t>
      </w:r>
      <w:r>
        <w:rPr>
          <w:rFonts w:ascii="Segoe UI" w:hAnsi="Segoe UI"/>
          <w:color w:val="1E293B"/>
          <w:sz w:val="20"/>
        </w:rPr>
        <w:t xml:space="preserve"> F1-Scores achieved: English 98.4%, Hindi 96.8%, Gujarati 96.2%, Marathi 94.9%.</w:t>
      </w:r>
    </w:p>
    <w:p>
      <w:pPr>
        <w:keepNext/>
        <w:spacing w:before="240" w:after="80"/>
      </w:pPr>
      <w:r>
        <w:rPr>
          <w:rFonts w:ascii="Segoe UI" w:hAnsi="Segoe UI"/>
          <w:b/>
          <w:color w:val="0077B6"/>
          <w:sz w:val="25"/>
        </w:rPr>
        <w:t>Q9: How does the Medical Vision OCR pipeline work in Panel 2?</w:t>
      </w:r>
    </w:p>
    <w:p>
      <w:pPr>
        <w:spacing w:before="0" w:after="80" w:line="276" w:lineRule="auto"/>
      </w:pPr>
      <w:r>
        <w:rPr>
          <w:rFonts w:ascii="Segoe UI" w:hAnsi="Segoe UI"/>
          <w:i w:val="0"/>
          <w:color w:val="1E293B"/>
          <w:sz w:val="20"/>
        </w:rPr>
        <w:t>The OCR module employs a dual-tier computer vision pipeline: OpenCV executes grayscale normalization, adaptive thresholding, and contrast expansion. Next, Google Gemini 2.5 Flash Vision extracts handwritten doctor scripts and lab values, while local PyTesseract provides an instant offline fallback. Extracted lab parameters (Hemoglobin, Platelets, SGPT, Bilirubin, HbA1c) are programmatically evaluated against datasets/blood_report/ clinical reference ranges, providing layman breakdowns and actionable tips.</w:t>
      </w:r>
    </w:p>
    <w:p>
      <w:pPr>
        <w:keepNext/>
        <w:spacing w:before="240" w:after="80"/>
      </w:pPr>
      <w:r>
        <w:rPr>
          <w:rFonts w:ascii="Segoe UI" w:hAnsi="Segoe UI"/>
          <w:b/>
          <w:color w:val="0077B6"/>
          <w:sz w:val="25"/>
        </w:rPr>
        <w:t>Q10: How does Panel 3 Nearby Healthcare Radar work without paid Google Maps APIs?</w:t>
      </w:r>
    </w:p>
    <w:p>
      <w:pPr>
        <w:spacing w:before="0" w:after="80" w:line="276" w:lineRule="auto"/>
      </w:pPr>
      <w:r>
        <w:rPr>
          <w:rFonts w:ascii="Segoe UI" w:hAnsi="Segoe UI"/>
          <w:i w:val="0"/>
          <w:color w:val="1E293B"/>
          <w:sz w:val="20"/>
        </w:rPr>
        <w:t>Panel 3 leverages OpenStreetMap Overpass QL API. When a user sets the perimeter radius slider between 1 to 25 km, the client queries Overpass nodes with amenity=hospital, amenity=clinic, and amenity=pharmacy. Facilities are dynamically clustered and rendered via interactive Folium maps with turn-by-turn routing distances, operating with zero API license costs.</w:t>
      </w:r>
    </w:p>
    <w:p>
      <w:pPr>
        <w:keepNext/>
        <w:spacing w:before="240" w:after="80"/>
      </w:pPr>
      <w:r>
        <w:rPr>
          <w:rFonts w:ascii="Segoe UI" w:hAnsi="Segoe UI"/>
          <w:b/>
          <w:color w:val="0077B6"/>
          <w:sz w:val="25"/>
        </w:rPr>
        <w:t>Q11: What is the National Command Center, and why is it restricted to Admin?</w:t>
      </w:r>
    </w:p>
    <w:p>
      <w:pPr>
        <w:spacing w:before="0" w:after="80" w:line="276" w:lineRule="auto"/>
      </w:pPr>
      <w:r>
        <w:rPr>
          <w:rFonts w:ascii="Segoe UI" w:hAnsi="Segoe UI"/>
          <w:i w:val="0"/>
          <w:color w:val="1E293B"/>
          <w:sz w:val="20"/>
        </w:rPr>
        <w:t>Panel 5 is an enterprise logistics tool for state health authorities. It ingests MoHFW HMIS, NFHS-5, and NLEM 2022 datasets to monitor Days of Inventory Remaining (DOIR) across 225+ health facilities. It incorporates a Random Forest Regressor predicting 7-day epidemic demand with 6.53% WAPE, and a two-stage linear solver generating official medicine transfer manifests. It is strictly gated to authenticated administrators (is_admin=True) to protect government health logistics data.</w:t>
      </w:r>
    </w:p>
    <w:p>
      <w:pPr>
        <w:keepNext/>
        <w:spacing w:before="360" w:after="120"/>
      </w:pPr>
      <w:r>
        <w:rPr>
          <w:rFonts w:ascii="Segoe UI" w:hAnsi="Segoe UI"/>
          <w:b/>
          <w:color w:val="0A2540"/>
          <w:sz w:val="32"/>
        </w:rPr>
        <w:t>5. BioPortal Clinical Ontology Lookup &amp; Medical Standards Standardization</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[BioPortal Clinical Ontology Architecture Sign-Off]</w:t>
              <w:br/>
            </w:r>
            <w:r>
              <w:rPr>
                <w:rFonts w:ascii="Segoe UI" w:hAnsi="Segoe UI"/>
                <w:color w:val="1E293B"/>
                <w:sz w:val="19"/>
              </w:rPr>
              <w:t>BIOPORTAL CLINICAL ONTOLOGY LOOKUP SUMMARY:</w:t>
              <w:br/>
              <w:t>• Core Purpose: Maps, validates, and standardizes colloquial medical terms, symptoms, medications, and lab tests against certified international clinical ontologies and vocabularies.</w:t>
              <w:br/>
              <w:t>• Solving Semantic Ambiguity: A patient says "fever", a doctor writes "pyrexia", and lab notes say "high body temperature". BioPortal unifies them under standard UMLS CUI identifiers with official clinical definitions and synonyms.</w:t>
              <w:br/>
              <w:t>• Primary Code Locations: api/bioportal.py (NCBO API Client, Annotator, and Circuit Breaker), app.py (Step 2 Document Analysis UI Lookup Tool), and clinical_pipeline.py / predict.py (Contextual Evidence Enrichment).</w:t>
              <w:br/>
              <w:t>• Supported Ontologies: SNOMED-CT, LOINC, MeSH, RxNorm, and MedDRA.</w:t>
              <w:br/>
              <w:t>• Offline Resilience: Built-in OFFLINE_CLINICAL_ONTOLOGIES knowledgebase and 60-second backoff circuit breaker guarantee zero crashes and uninterrupted local operation.</w:t>
            </w:r>
          </w:p>
        </w:tc>
      </w:tr>
    </w:tbl>
    <w:p>
      <w:pPr>
        <w:spacing w:before="80" w:after="80"/>
      </w:pPr>
    </w:p>
    <w:p>
      <w:pPr>
        <w:keepNext/>
        <w:spacing w:before="240" w:after="80"/>
      </w:pPr>
      <w:r>
        <w:rPr>
          <w:rFonts w:ascii="Segoe UI" w:hAnsi="Segoe UI"/>
          <w:b/>
          <w:color w:val="0077B6"/>
          <w:sz w:val="25"/>
        </w:rPr>
        <w:t>5.1 What is BioPortal Clinical Ontology Lookup? (Core Purpose)</w:t>
      </w:r>
    </w:p>
    <w:p>
      <w:pPr>
        <w:spacing w:before="0" w:after="80" w:line="276" w:lineRule="auto"/>
      </w:pPr>
      <w:r>
        <w:rPr>
          <w:rFonts w:ascii="Segoe UI" w:hAnsi="Segoe UI"/>
          <w:i w:val="0"/>
          <w:color w:val="1E293B"/>
          <w:sz w:val="20"/>
        </w:rPr>
        <w:t>In healthcare systems, a fundamental challenge is semantic variance across patient vernacular, nursing documentation, and physician charting:</w:t>
      </w:r>
    </w:p>
    <w:p>
      <w:pPr>
        <w:pStyle w:val="ListBullet"/>
        <w:spacing w:before="0" w:after="60" w:line="276" w:lineRule="auto"/>
        <w:ind w:left="360"/>
      </w:pPr>
      <w:r>
        <w:rPr>
          <w:rFonts w:ascii="Segoe UI" w:hAnsi="Segoe UI"/>
          <w:b/>
          <w:color w:val="1E293B"/>
          <w:sz w:val="20"/>
        </w:rPr>
        <w:t>1. Semantic Disambiguation:</w:t>
      </w:r>
      <w:r>
        <w:rPr>
          <w:rFonts w:ascii="Segoe UI" w:hAnsi="Segoe UI"/>
          <w:color w:val="1E293B"/>
          <w:sz w:val="20"/>
        </w:rPr>
        <w:t xml:space="preserve"> A rural citizen says 'thand lag rahi hai' [feverish chills] or 'fever', a clinician charts 'pyrexia', and triage logs record 'febrile state'. BioPortal resolves these colloquial terms to a single standardized concept (SNOMED-CT ID: 386661006, UMLS CUI: C0015967).</w:t>
      </w:r>
    </w:p>
    <w:p>
      <w:pPr>
        <w:pStyle w:val="ListBullet"/>
        <w:spacing w:before="0" w:after="60" w:line="276" w:lineRule="auto"/>
        <w:ind w:left="360"/>
      </w:pPr>
      <w:r>
        <w:rPr>
          <w:rFonts w:ascii="Segoe UI" w:hAnsi="Segoe UI"/>
          <w:b/>
          <w:color w:val="1E293B"/>
          <w:sz w:val="20"/>
        </w:rPr>
        <w:t>2. Synonym Expansion &amp; Definitions:</w:t>
      </w:r>
      <w:r>
        <w:rPr>
          <w:rFonts w:ascii="Segoe UI" w:hAnsi="Segoe UI"/>
          <w:color w:val="1E293B"/>
          <w:sz w:val="20"/>
        </w:rPr>
        <w:t xml:space="preserve"> When a user reports 'chest pain', BioPortal retrieves certified synonyms including 'Precordial Pain' and 'Thoracalgia', along with formal pathophysiological definitions, ensuring clinical decision support engines operate on standardized medical taxonomies rather than raw, ambiguous text strings.</w:t>
      </w:r>
    </w:p>
    <w:p>
      <w:pPr>
        <w:pStyle w:val="ListBullet"/>
        <w:spacing w:before="0" w:after="60" w:line="276" w:lineRule="auto"/>
        <w:ind w:left="360"/>
      </w:pPr>
      <w:r>
        <w:rPr>
          <w:rFonts w:ascii="Segoe UI" w:hAnsi="Segoe UI"/>
          <w:b/>
          <w:color w:val="1E293B"/>
          <w:sz w:val="20"/>
        </w:rPr>
        <w:t>3. Global Interoperability Encoding:</w:t>
      </w:r>
      <w:r>
        <w:rPr>
          <w:rFonts w:ascii="Segoe UI" w:hAnsi="Segoe UI"/>
          <w:color w:val="1E293B"/>
          <w:sz w:val="20"/>
        </w:rPr>
        <w:t xml:space="preserve"> Every mapped concept is tagged with its official Unified Medical Language System (UMLS) Concept Unique Identifier (CUI) and ontology URI, aligning DocMindX AI with international EHR interoperability standards (HL7 FHIR, SNOMED International, and India ABDM standards).</w:t>
      </w:r>
    </w:p>
    <w:p>
      <w:pPr>
        <w:keepNext/>
        <w:spacing w:before="240" w:after="80"/>
      </w:pPr>
      <w:r>
        <w:rPr>
          <w:rFonts w:ascii="Segoe UI" w:hAnsi="Segoe UI"/>
          <w:b/>
          <w:color w:val="0077B6"/>
          <w:sz w:val="25"/>
        </w:rPr>
        <w:t>5.2 Where &amp; How BioPortal Operates across DocMindX AI</w:t>
      </w:r>
    </w:p>
    <w:p>
      <w:pPr>
        <w:spacing w:before="0" w:after="80" w:line="276" w:lineRule="auto"/>
      </w:pPr>
      <w:r>
        <w:rPr>
          <w:rFonts w:ascii="Segoe UI" w:hAnsi="Segoe UI"/>
          <w:i w:val="0"/>
          <w:color w:val="1E293B"/>
          <w:sz w:val="20"/>
        </w:rPr>
        <w:t>BioPortal integration is actively operational across three distinct functional layers of the DocMindX AI repository:</w:t>
      </w:r>
    </w:p>
    <w:p>
      <w:pPr>
        <w:pStyle w:val="ListBullet"/>
        <w:spacing w:before="0" w:after="60" w:line="276" w:lineRule="auto"/>
        <w:ind w:left="360"/>
      </w:pPr>
      <w:r>
        <w:rPr>
          <w:rFonts w:ascii="Segoe UI" w:hAnsi="Segoe UI"/>
          <w:b/>
          <w:color w:val="1E293B"/>
          <w:sz w:val="20"/>
        </w:rPr>
        <w:t>① UI Direct Search Tool (app.py) —</w:t>
      </w:r>
      <w:r>
        <w:rPr>
          <w:rFonts w:ascii="Segoe UI" w:hAnsi="Segoe UI"/>
          <w:color w:val="1E293B"/>
          <w:sz w:val="20"/>
        </w:rPr>
        <w:t xml:space="preserve"> Located in app.py within Step 2 (Document Analysis &amp; Verification Screen). Doctors, ASHA workers, or patients can search any clinical term, drug, or lab parameter (e.g., 'Hypertension', 'Diabetes', 'Creatinine', 'Metformin', 'Pneumonia') to receive real-time medical cards displaying Standard Label, Definition, UMLS CUI, Synonyms, and Source Ontology.</w:t>
      </w:r>
    </w:p>
    <w:p>
      <w:pPr>
        <w:pStyle w:val="ListBullet"/>
        <w:spacing w:before="0" w:after="60" w:line="276" w:lineRule="auto"/>
        <w:ind w:left="360"/>
      </w:pPr>
      <w:r>
        <w:rPr>
          <w:rFonts w:ascii="Segoe UI" w:hAnsi="Segoe UI"/>
          <w:b/>
          <w:color w:val="1E293B"/>
          <w:sz w:val="20"/>
        </w:rPr>
        <w:t>② AI Clinical Pipeline &amp; Triage Engine (clinical_pipeline.py &amp; predict.py) —</w:t>
      </w:r>
      <w:r>
        <w:rPr>
          <w:rFonts w:ascii="Segoe UI" w:hAnsi="Segoe UI"/>
          <w:color w:val="1E293B"/>
          <w:sz w:val="20"/>
        </w:rPr>
        <w:t xml:space="preserve"> Located in clinical_pipeline.py and predict.py. When a patient reports symptoms or uploads lab reports, the AI pipeline queries BioPortal in the background to retrieve enriched clinical concept evidence. Safety Interlock: BioPortal concepts are strictly ingested as supplementary contextual evidence for acuity ranking — they are never injected into the patient's primary symptoms, preventing false-positive hallucination.</w:t>
      </w:r>
    </w:p>
    <w:p>
      <w:pPr>
        <w:pStyle w:val="ListBullet"/>
        <w:spacing w:before="0" w:after="60" w:line="276" w:lineRule="auto"/>
        <w:ind w:left="360"/>
      </w:pPr>
      <w:r>
        <w:rPr>
          <w:rFonts w:ascii="Segoe UI" w:hAnsi="Segoe UI"/>
          <w:b/>
          <w:color w:val="1E293B"/>
          <w:sz w:val="20"/>
        </w:rPr>
        <w:t>③ Clinical Text Annotator (api/bioportal.py) —</w:t>
      </w:r>
      <w:r>
        <w:rPr>
          <w:rFonts w:ascii="Segoe UI" w:hAnsi="Segoe UI"/>
          <w:color w:val="1E293B"/>
          <w:sz w:val="20"/>
        </w:rPr>
        <w:t xml:space="preserve"> Located in api/bioportal.py. When an unformatted clinical note, discharge summary, or doctor prescription is ingested, the BioPortal Annotator parses the raw text, identifies clinical entities, and extracts standardized medical concepts with exact character span offsets.</w:t>
      </w:r>
    </w:p>
    <w:p>
      <w:pPr>
        <w:keepNext/>
        <w:spacing w:before="240" w:after="80"/>
      </w:pPr>
      <w:r>
        <w:rPr>
          <w:rFonts w:ascii="Segoe UI" w:hAnsi="Segoe UI"/>
          <w:b/>
          <w:color w:val="0077B6"/>
          <w:sz w:val="25"/>
        </w:rPr>
        <w:t>5.3 Supported Clinical Ontologies &amp; Standards</w:t>
      </w:r>
    </w:p>
    <w:p>
      <w:pPr>
        <w:spacing w:before="0" w:after="80" w:line="276" w:lineRule="auto"/>
      </w:pPr>
      <w:r>
        <w:rPr>
          <w:rFonts w:ascii="Segoe UI" w:hAnsi="Segoe UI"/>
          <w:i w:val="0"/>
          <w:color w:val="1E293B"/>
          <w:sz w:val="20"/>
        </w:rPr>
        <w:t>DocMindX AI connects to the National Center for Biomedical Ontology (NCBO) BioPortal ecosystem, supporting five primary medical ontologies: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016"/>
            <w:shd w:fill="0A2540"/>
          </w:tcPr>
          <w:p>
            <w:pPr>
              <w:spacing w:before="80" w:after="80"/>
              <w:jc w:val="left"/>
            </w:pPr>
            <w:r>
              <w:rPr>
                <w:rFonts w:ascii="Segoe UI" w:hAnsi="Segoe UI"/>
                <w:b/>
                <w:color w:val="FFFFFF"/>
                <w:sz w:val="19"/>
              </w:rPr>
              <w:t>Ontology Standard</w:t>
            </w:r>
          </w:p>
        </w:tc>
        <w:tc>
          <w:tcPr>
            <w:tcW w:type="dxa" w:w="2016"/>
            <w:shd w:fill="0A2540"/>
          </w:tcPr>
          <w:p>
            <w:pPr>
              <w:spacing w:before="80" w:after="80"/>
              <w:jc w:val="left"/>
            </w:pPr>
            <w:r>
              <w:rPr>
                <w:rFonts w:ascii="Segoe UI" w:hAnsi="Segoe UI"/>
                <w:b/>
                <w:color w:val="FFFFFF"/>
                <w:sz w:val="19"/>
              </w:rPr>
              <w:t>Governing Body / Source</w:t>
            </w:r>
          </w:p>
        </w:tc>
        <w:tc>
          <w:tcPr>
            <w:tcW w:type="dxa" w:w="2880"/>
            <w:shd w:fill="0A2540"/>
          </w:tcPr>
          <w:p>
            <w:pPr>
              <w:spacing w:before="80" w:after="80"/>
              <w:jc w:val="left"/>
            </w:pPr>
            <w:r>
              <w:rPr>
                <w:rFonts w:ascii="Segoe UI" w:hAnsi="Segoe UI"/>
                <w:b/>
                <w:color w:val="FFFFFF"/>
                <w:sz w:val="19"/>
              </w:rPr>
              <w:t>Clinical Domain &amp; Scope</w:t>
            </w:r>
          </w:p>
        </w:tc>
        <w:tc>
          <w:tcPr>
            <w:tcW w:type="dxa" w:w="3456"/>
            <w:shd w:fill="0A2540"/>
          </w:tcPr>
          <w:p>
            <w:pPr>
              <w:spacing w:before="80" w:after="80"/>
              <w:jc w:val="left"/>
            </w:pPr>
            <w:r>
              <w:rPr>
                <w:rFonts w:ascii="Segoe UI" w:hAnsi="Segoe UI"/>
                <w:b/>
                <w:color w:val="FFFFFF"/>
                <w:sz w:val="19"/>
              </w:rPr>
              <w:t>DocMindX AI Operational Use Case</w:t>
            </w:r>
          </w:p>
        </w:tc>
      </w:tr>
      <w:tr>
        <w:tc>
          <w:tcPr>
            <w:tcW w:type="dxa" w:w="2016"/>
            <w:shd w:fill="FFFFFF"/>
          </w:tcPr>
          <w:p>
            <w:pPr>
              <w:spacing w:before="60" w:after="60"/>
              <w:jc w:val="left"/>
            </w:pPr>
            <w:r>
              <w:rPr>
                <w:rFonts w:ascii="Segoe UI" w:hAnsi="Segoe UI"/>
                <w:color w:val="1E293B"/>
                <w:sz w:val="18"/>
              </w:rPr>
              <w:t>SNOMED-CT</w:t>
            </w:r>
          </w:p>
        </w:tc>
        <w:tc>
          <w:tcPr>
            <w:tcW w:type="dxa" w:w="2016"/>
            <w:shd w:fill="FFFFFF"/>
          </w:tcPr>
          <w:p>
            <w:pPr>
              <w:spacing w:before="60" w:after="60"/>
              <w:jc w:val="left"/>
            </w:pPr>
            <w:r>
              <w:rPr>
                <w:rFonts w:ascii="Segoe UI" w:hAnsi="Segoe UI"/>
                <w:color w:val="1E293B"/>
                <w:sz w:val="18"/>
              </w:rPr>
              <w:t>SNOMED International</w:t>
            </w:r>
          </w:p>
        </w:tc>
        <w:tc>
          <w:tcPr>
            <w:tcW w:type="dxa" w:w="2880"/>
            <w:shd w:fill="FFFFFF"/>
          </w:tcPr>
          <w:p>
            <w:pPr>
              <w:spacing w:before="60" w:after="60"/>
              <w:jc w:val="left"/>
            </w:pPr>
            <w:r>
              <w:rPr>
                <w:rFonts w:ascii="Segoe UI" w:hAnsi="Segoe UI"/>
                <w:color w:val="1E293B"/>
                <w:sz w:val="18"/>
              </w:rPr>
              <w:t>Clinical health terminology covering diseases, clinical symptoms, and surgical procedures.</w:t>
            </w:r>
          </w:p>
        </w:tc>
        <w:tc>
          <w:tcPr>
            <w:tcW w:type="dxa" w:w="3456"/>
            <w:shd w:fill="FFFFFF"/>
          </w:tcPr>
          <w:p>
            <w:pPr>
              <w:spacing w:before="60" w:after="60"/>
              <w:jc w:val="left"/>
            </w:pPr>
            <w:r>
              <w:rPr>
                <w:rFonts w:ascii="Segoe UI" w:hAnsi="Segoe UI"/>
                <w:color w:val="1E293B"/>
                <w:sz w:val="18"/>
              </w:rPr>
              <w:t>Standardizes patient-reported symptoms, chief complaints, and differential diagnoses into canonical clinical concepts.</w:t>
            </w:r>
          </w:p>
        </w:tc>
      </w:tr>
      <w:tr>
        <w:tc>
          <w:tcPr>
            <w:tcW w:type="dxa" w:w="2016"/>
            <w:shd w:fill="F8FAFC"/>
          </w:tcPr>
          <w:p>
            <w:pPr>
              <w:spacing w:before="60" w:after="60"/>
              <w:jc w:val="left"/>
            </w:pPr>
            <w:r>
              <w:rPr>
                <w:rFonts w:ascii="Segoe UI" w:hAnsi="Segoe UI"/>
                <w:color w:val="1E293B"/>
                <w:sz w:val="18"/>
              </w:rPr>
              <w:t>LOINC</w:t>
            </w:r>
          </w:p>
        </w:tc>
        <w:tc>
          <w:tcPr>
            <w:tcW w:type="dxa" w:w="2016"/>
            <w:shd w:fill="F8FAFC"/>
          </w:tcPr>
          <w:p>
            <w:pPr>
              <w:spacing w:before="60" w:after="60"/>
              <w:jc w:val="left"/>
            </w:pPr>
            <w:r>
              <w:rPr>
                <w:rFonts w:ascii="Segoe UI" w:hAnsi="Segoe UI"/>
                <w:color w:val="1E293B"/>
                <w:sz w:val="18"/>
              </w:rPr>
              <w:t>Regenstrief Institute</w:t>
            </w:r>
          </w:p>
        </w:tc>
        <w:tc>
          <w:tcPr>
            <w:tcW w:type="dxa" w:w="2880"/>
            <w:shd w:fill="F8FAFC"/>
          </w:tcPr>
          <w:p>
            <w:pPr>
              <w:spacing w:before="60" w:after="60"/>
              <w:jc w:val="left"/>
            </w:pPr>
            <w:r>
              <w:rPr>
                <w:rFonts w:ascii="Segoe UI" w:hAnsi="Segoe UI"/>
                <w:color w:val="1E293B"/>
                <w:sz w:val="18"/>
              </w:rPr>
              <w:t>Logical Observation Identifiers Names and Codes for laboratory and clinical observations.</w:t>
            </w:r>
          </w:p>
        </w:tc>
        <w:tc>
          <w:tcPr>
            <w:tcW w:type="dxa" w:w="3456"/>
            <w:shd w:fill="F8FAFC"/>
          </w:tcPr>
          <w:p>
            <w:pPr>
              <w:spacing w:before="60" w:after="60"/>
              <w:jc w:val="left"/>
            </w:pPr>
            <w:r>
              <w:rPr>
                <w:rFonts w:ascii="Segoe UI" w:hAnsi="Segoe UI"/>
                <w:color w:val="1E293B"/>
                <w:sz w:val="18"/>
              </w:rPr>
              <w:t>Validates blood test parameters extracted from lab reports (e.g., Serum Creatinine, Fasting Blood Glucose, Hemoglobin, SGPT).</w:t>
            </w:r>
          </w:p>
        </w:tc>
      </w:tr>
      <w:tr>
        <w:tc>
          <w:tcPr>
            <w:tcW w:type="dxa" w:w="2016"/>
            <w:shd w:fill="FFFFFF"/>
          </w:tcPr>
          <w:p>
            <w:pPr>
              <w:spacing w:before="60" w:after="60"/>
              <w:jc w:val="left"/>
            </w:pPr>
            <w:r>
              <w:rPr>
                <w:rFonts w:ascii="Segoe UI" w:hAnsi="Segoe UI"/>
                <w:color w:val="1E293B"/>
                <w:sz w:val="18"/>
              </w:rPr>
              <w:t>MeSH</w:t>
            </w:r>
          </w:p>
        </w:tc>
        <w:tc>
          <w:tcPr>
            <w:tcW w:type="dxa" w:w="2016"/>
            <w:shd w:fill="FFFFFF"/>
          </w:tcPr>
          <w:p>
            <w:pPr>
              <w:spacing w:before="60" w:after="60"/>
              <w:jc w:val="left"/>
            </w:pPr>
            <w:r>
              <w:rPr>
                <w:rFonts w:ascii="Segoe UI" w:hAnsi="Segoe UI"/>
                <w:color w:val="1E293B"/>
                <w:sz w:val="18"/>
              </w:rPr>
              <w:t>U.S. National Library of Medicine</w:t>
            </w:r>
          </w:p>
        </w:tc>
        <w:tc>
          <w:tcPr>
            <w:tcW w:type="dxa" w:w="2880"/>
            <w:shd w:fill="FFFFFF"/>
          </w:tcPr>
          <w:p>
            <w:pPr>
              <w:spacing w:before="60" w:after="60"/>
              <w:jc w:val="left"/>
            </w:pPr>
            <w:r>
              <w:rPr>
                <w:rFonts w:ascii="Segoe UI" w:hAnsi="Segoe UI"/>
                <w:color w:val="1E293B"/>
                <w:sz w:val="18"/>
              </w:rPr>
              <w:t>Medical Subject Headings hierarchical thesaurus.</w:t>
            </w:r>
          </w:p>
        </w:tc>
        <w:tc>
          <w:tcPr>
            <w:tcW w:type="dxa" w:w="3456"/>
            <w:shd w:fill="FFFFFF"/>
          </w:tcPr>
          <w:p>
            <w:pPr>
              <w:spacing w:before="60" w:after="60"/>
              <w:jc w:val="left"/>
            </w:pPr>
            <w:r>
              <w:rPr>
                <w:rFonts w:ascii="Segoe UI" w:hAnsi="Segoe UI"/>
                <w:color w:val="1E293B"/>
                <w:sz w:val="18"/>
              </w:rPr>
              <w:t>Indexes broad disease taxonomies and epidemiological literature for clinical reference.</w:t>
            </w:r>
          </w:p>
        </w:tc>
      </w:tr>
      <w:tr>
        <w:tc>
          <w:tcPr>
            <w:tcW w:type="dxa" w:w="2016"/>
            <w:shd w:fill="F8FAFC"/>
          </w:tcPr>
          <w:p>
            <w:pPr>
              <w:spacing w:before="60" w:after="60"/>
              <w:jc w:val="left"/>
            </w:pPr>
            <w:r>
              <w:rPr>
                <w:rFonts w:ascii="Segoe UI" w:hAnsi="Segoe UI"/>
                <w:color w:val="1E293B"/>
                <w:sz w:val="18"/>
              </w:rPr>
              <w:t>RxNorm</w:t>
            </w:r>
          </w:p>
        </w:tc>
        <w:tc>
          <w:tcPr>
            <w:tcW w:type="dxa" w:w="2016"/>
            <w:shd w:fill="F8FAFC"/>
          </w:tcPr>
          <w:p>
            <w:pPr>
              <w:spacing w:before="60" w:after="60"/>
              <w:jc w:val="left"/>
            </w:pPr>
            <w:r>
              <w:rPr>
                <w:rFonts w:ascii="Segoe UI" w:hAnsi="Segoe UI"/>
                <w:color w:val="1E293B"/>
                <w:sz w:val="18"/>
              </w:rPr>
              <w:t>U.S. National Library of Medicine</w:t>
            </w:r>
          </w:p>
        </w:tc>
        <w:tc>
          <w:tcPr>
            <w:tcW w:type="dxa" w:w="2880"/>
            <w:shd w:fill="F8FAFC"/>
          </w:tcPr>
          <w:p>
            <w:pPr>
              <w:spacing w:before="60" w:after="60"/>
              <w:jc w:val="left"/>
            </w:pPr>
            <w:r>
              <w:rPr>
                <w:rFonts w:ascii="Segoe UI" w:hAnsi="Segoe UI"/>
                <w:color w:val="1E293B"/>
                <w:sz w:val="18"/>
              </w:rPr>
              <w:t>Standardized nomenclature for clinical drugs, formulations, and active ingredients.</w:t>
            </w:r>
          </w:p>
        </w:tc>
        <w:tc>
          <w:tcPr>
            <w:tcW w:type="dxa" w:w="3456"/>
            <w:shd w:fill="F8FAFC"/>
          </w:tcPr>
          <w:p>
            <w:pPr>
              <w:spacing w:before="60" w:after="60"/>
              <w:jc w:val="left"/>
            </w:pPr>
            <w:r>
              <w:rPr>
                <w:rFonts w:ascii="Segoe UI" w:hAnsi="Segoe UI"/>
                <w:color w:val="1E293B"/>
                <w:sz w:val="18"/>
              </w:rPr>
              <w:t>Maps generic medication names and dosages to normalized clinical pharmaceutical concepts.</w:t>
            </w:r>
          </w:p>
        </w:tc>
      </w:tr>
      <w:tr>
        <w:tc>
          <w:tcPr>
            <w:tcW w:type="dxa" w:w="2016"/>
            <w:shd w:fill="FFFFFF"/>
          </w:tcPr>
          <w:p>
            <w:pPr>
              <w:spacing w:before="60" w:after="60"/>
              <w:jc w:val="left"/>
            </w:pPr>
            <w:r>
              <w:rPr>
                <w:rFonts w:ascii="Segoe UI" w:hAnsi="Segoe UI"/>
                <w:color w:val="1E293B"/>
                <w:sz w:val="18"/>
              </w:rPr>
              <w:t>MedDRA</w:t>
            </w:r>
          </w:p>
        </w:tc>
        <w:tc>
          <w:tcPr>
            <w:tcW w:type="dxa" w:w="2016"/>
            <w:shd w:fill="FFFFFF"/>
          </w:tcPr>
          <w:p>
            <w:pPr>
              <w:spacing w:before="60" w:after="60"/>
              <w:jc w:val="left"/>
            </w:pPr>
            <w:r>
              <w:rPr>
                <w:rFonts w:ascii="Segoe UI" w:hAnsi="Segoe UI"/>
                <w:color w:val="1E293B"/>
                <w:sz w:val="18"/>
              </w:rPr>
              <w:t>ICH / IFPMA</w:t>
            </w:r>
          </w:p>
        </w:tc>
        <w:tc>
          <w:tcPr>
            <w:tcW w:type="dxa" w:w="2880"/>
            <w:shd w:fill="FFFFFF"/>
          </w:tcPr>
          <w:p>
            <w:pPr>
              <w:spacing w:before="60" w:after="60"/>
              <w:jc w:val="left"/>
            </w:pPr>
            <w:r>
              <w:rPr>
                <w:rFonts w:ascii="Segoe UI" w:hAnsi="Segoe UI"/>
                <w:color w:val="1E293B"/>
                <w:sz w:val="18"/>
              </w:rPr>
              <w:t>Medical Dictionary for Regulatory Activities for adverse event reporting.</w:t>
            </w:r>
          </w:p>
        </w:tc>
        <w:tc>
          <w:tcPr>
            <w:tcW w:type="dxa" w:w="3456"/>
            <w:shd w:fill="FFFFFF"/>
          </w:tcPr>
          <w:p>
            <w:pPr>
              <w:spacing w:before="60" w:after="60"/>
              <w:jc w:val="left"/>
            </w:pPr>
            <w:r>
              <w:rPr>
                <w:rFonts w:ascii="Segoe UI" w:hAnsi="Segoe UI"/>
                <w:color w:val="1E293B"/>
                <w:sz w:val="18"/>
              </w:rPr>
              <w:t>Maps patient allergies, contraindications, and known adverse drug reactions.</w:t>
            </w:r>
          </w:p>
        </w:tc>
      </w:tr>
    </w:tbl>
    <w:p>
      <w:pPr>
        <w:spacing w:before="120" w:after="80"/>
      </w:pPr>
    </w:p>
    <w:p>
      <w:pPr>
        <w:keepNext/>
        <w:spacing w:before="240" w:after="80"/>
      </w:pPr>
      <w:r>
        <w:rPr>
          <w:rFonts w:ascii="Segoe UI" w:hAnsi="Segoe UI"/>
          <w:b/>
          <w:color w:val="0077B6"/>
          <w:sz w:val="25"/>
        </w:rPr>
        <w:t>5.4 Offline Resilience &amp; Circuit Breaker Architecture</w:t>
      </w:r>
    </w:p>
    <w:p>
      <w:pPr>
        <w:spacing w:before="0" w:after="80" w:line="276" w:lineRule="auto"/>
      </w:pPr>
      <w:r>
        <w:rPr>
          <w:rFonts w:ascii="Segoe UI" w:hAnsi="Segoe UI"/>
          <w:i w:val="0"/>
          <w:color w:val="1E293B"/>
          <w:sz w:val="20"/>
        </w:rPr>
        <w:t>Healthcare facilities in rural India experience frequent internet outages. If the external BioPortal cloud service is unavailable, DocMindX AI remains 100% stable through dual-tier resilience mechanisms in api/bioportal.py:</w:t>
      </w:r>
    </w:p>
    <w:p>
      <w:pPr>
        <w:pStyle w:val="ListBullet"/>
        <w:spacing w:before="0" w:after="60" w:line="276" w:lineRule="auto"/>
        <w:ind w:left="360"/>
      </w:pPr>
      <w:r>
        <w:rPr>
          <w:rFonts w:ascii="Segoe UI" w:hAnsi="Segoe UI"/>
          <w:b/>
          <w:color w:val="1E293B"/>
          <w:sz w:val="20"/>
        </w:rPr>
        <w:t>1. OFFLINE_CLINICAL_ONTOLOGIES Knowledgebase:</w:t>
      </w:r>
      <w:r>
        <w:rPr>
          <w:rFonts w:ascii="Segoe UI" w:hAnsi="Segoe UI"/>
          <w:color w:val="1E293B"/>
          <w:sz w:val="20"/>
        </w:rPr>
        <w:t xml:space="preserve"> Embedded directly in api/bioportal.py, this local dictionary stores pre-compiled clinical records (labels, SNOMED-CT concept IDs, MeSH URIs, definitions, and synonyms) for high-frequency conditions including Asthma, Fever, Cough, Chest Pain, Headache, Dengue, and Diabetes. Queries resolve locally in &lt;1 millisecond.</w:t>
      </w:r>
    </w:p>
    <w:p>
      <w:pPr>
        <w:pStyle w:val="ListBullet"/>
        <w:spacing w:before="0" w:after="60" w:line="276" w:lineRule="auto"/>
        <w:ind w:left="360"/>
      </w:pPr>
      <w:r>
        <w:rPr>
          <w:rFonts w:ascii="Segoe UI" w:hAnsi="Segoe UI"/>
          <w:b/>
          <w:color w:val="1E293B"/>
          <w:sz w:val="20"/>
        </w:rPr>
        <w:t>2. Stateful Circuit Breaker Pattern:</w:t>
      </w:r>
      <w:r>
        <w:rPr>
          <w:rFonts w:ascii="Segoe UI" w:hAnsi="Segoe UI"/>
          <w:color w:val="1E293B"/>
          <w:sz w:val="20"/>
        </w:rPr>
        <w:t xml:space="preserve"> If an external HTTP request to data.bioontology.org times out or fails authentication, the circuit breaker activates a 60-second backoff timer (_BIOPORTAL_CIRCUIT_BREAKER_BACKOFF = 60.0s). Subsequent queries instantly route to the local offline knowledgebase, preventing UI freezing or request queuing.</w:t>
      </w:r>
    </w:p>
    <w:p>
      <w:pPr>
        <w:keepNext/>
        <w:spacing w:before="240" w:after="80"/>
      </w:pPr>
      <w:r>
        <w:rPr>
          <w:rFonts w:ascii="Segoe UI" w:hAnsi="Segoe UI"/>
          <w:b/>
          <w:color w:val="0077B6"/>
          <w:sz w:val="25"/>
        </w:rPr>
        <w:t>5.5 Why BioPortal Elevates DocMindX AI from a Chatbot to a Certified Clinical CDS</w:t>
      </w:r>
    </w:p>
    <w:p>
      <w:pPr>
        <w:spacing w:before="0" w:after="80" w:line="276" w:lineRule="auto"/>
      </w:pPr>
      <w:r>
        <w:rPr>
          <w:rFonts w:ascii="Segoe UI" w:hAnsi="Segoe UI"/>
          <w:i w:val="0"/>
          <w:color w:val="1E293B"/>
          <w:sz w:val="20"/>
        </w:rPr>
        <w:t>Generic AI tools (like ChatGPT or standard medical chatbots) rely on statistical text generation, which leads to varying, non-standardized terminology and unverified medical claims. By incorporating BioPortal Clinical Ontology Lookup:</w:t>
      </w:r>
    </w:p>
    <w:p>
      <w:pPr>
        <w:pStyle w:val="ListBullet"/>
        <w:spacing w:before="0" w:after="60" w:line="276" w:lineRule="auto"/>
        <w:ind w:left="360"/>
      </w:pPr>
      <w:r>
        <w:rPr>
          <w:rFonts w:ascii="Segoe UI" w:hAnsi="Segoe UI"/>
          <w:b/>
          <w:color w:val="1E293B"/>
          <w:sz w:val="20"/>
        </w:rPr>
        <w:t>• Regulatory Interoperability:</w:t>
      </w:r>
      <w:r>
        <w:rPr>
          <w:rFonts w:ascii="Segoe UI" w:hAnsi="Segoe UI"/>
          <w:color w:val="1E293B"/>
          <w:sz w:val="20"/>
        </w:rPr>
        <w:t xml:space="preserve"> Every diagnostic and pharmaceutical recommendation maps to an internationally recognized code (SNOMED-CT / LOINC / RxNorm).</w:t>
      </w:r>
    </w:p>
    <w:p>
      <w:pPr>
        <w:pStyle w:val="ListBullet"/>
        <w:spacing w:before="0" w:after="60" w:line="276" w:lineRule="auto"/>
        <w:ind w:left="360"/>
      </w:pPr>
      <w:r>
        <w:rPr>
          <w:rFonts w:ascii="Segoe UI" w:hAnsi="Segoe UI"/>
          <w:b/>
          <w:color w:val="1E293B"/>
          <w:sz w:val="20"/>
        </w:rPr>
        <w:t>• Diagnostic Disambiguation:</w:t>
      </w:r>
      <w:r>
        <w:rPr>
          <w:rFonts w:ascii="Segoe UI" w:hAnsi="Segoe UI"/>
          <w:color w:val="1E293B"/>
          <w:sz w:val="20"/>
        </w:rPr>
        <w:t xml:space="preserve"> Eliminates clinical ambiguity across Indian regional dialects by binding colloquial symptoms to immutable UMLS CUIs.</w:t>
      </w:r>
    </w:p>
    <w:p>
      <w:pPr>
        <w:pStyle w:val="ListBullet"/>
        <w:spacing w:before="0" w:after="60" w:line="276" w:lineRule="auto"/>
        <w:ind w:left="360"/>
      </w:pPr>
      <w:r>
        <w:rPr>
          <w:rFonts w:ascii="Segoe UI" w:hAnsi="Segoe UI"/>
          <w:b/>
          <w:color w:val="1E293B"/>
          <w:sz w:val="20"/>
        </w:rPr>
        <w:t>• Lab Value Verification:</w:t>
      </w:r>
      <w:r>
        <w:rPr>
          <w:rFonts w:ascii="Segoe UI" w:hAnsi="Segoe UI"/>
          <w:color w:val="1E293B"/>
          <w:sz w:val="20"/>
        </w:rPr>
        <w:t xml:space="preserve"> Laboratory values extracted from paper reports are verified against LOINC standards before reference range evaluation.</w:t>
      </w:r>
    </w:p>
    <w:p>
      <w:pPr>
        <w:keepNext/>
        <w:spacing w:before="240" w:after="80"/>
      </w:pPr>
      <w:r>
        <w:rPr>
          <w:rFonts w:ascii="Segoe UI" w:hAnsi="Segoe UI"/>
          <w:b/>
          <w:color w:val="0077B6"/>
          <w:sz w:val="25"/>
        </w:rPr>
        <w:t>5.6 BioPortal Jury Defense Questions &amp; Expert Answers</w:t>
      </w:r>
    </w:p>
    <w:p>
      <w:pPr>
        <w:pStyle w:val="ListBullet"/>
        <w:spacing w:before="0" w:after="60" w:line="276" w:lineRule="auto"/>
        <w:ind w:left="360"/>
      </w:pPr>
      <w:r>
        <w:rPr>
          <w:rFonts w:ascii="Segoe UI" w:hAnsi="Segoe UI"/>
          <w:b/>
          <w:color w:val="1E293B"/>
          <w:sz w:val="20"/>
        </w:rPr>
        <w:t>Q12: 'Why did you integrate BioPortal instead of simple string matching?':</w:t>
      </w:r>
      <w:r>
        <w:rPr>
          <w:rFonts w:ascii="Segoe UI" w:hAnsi="Segoe UI"/>
          <w:color w:val="1E293B"/>
          <w:sz w:val="20"/>
        </w:rPr>
        <w:t xml:space="preserve"> "Standard string matching fails when doctors write 'pyrexia' and patients report 'fever', or when 'chest pain' is termed 'thoracalgia'. BioPortal provides semantic ontology mapping, connecting disparate terminology to standard UMLS CUIs and SNOMED-CT codes. This ensures clinical consistency across English, Hindi, and Gujarati."</w:t>
      </w:r>
    </w:p>
    <w:p>
      <w:pPr>
        <w:pStyle w:val="ListBullet"/>
        <w:spacing w:before="0" w:after="60" w:line="276" w:lineRule="auto"/>
        <w:ind w:left="360"/>
      </w:pPr>
      <w:r>
        <w:rPr>
          <w:rFonts w:ascii="Segoe UI" w:hAnsi="Segoe UI"/>
          <w:b/>
          <w:color w:val="1E293B"/>
          <w:sz w:val="20"/>
        </w:rPr>
        <w:t>Q13: 'How does BioPortal prevent symptom hallucination in the clinical pipeline?':</w:t>
      </w:r>
      <w:r>
        <w:rPr>
          <w:rFonts w:ascii="Segoe UI" w:hAnsi="Segoe UI"/>
          <w:color w:val="1E293B"/>
          <w:sz w:val="20"/>
        </w:rPr>
        <w:t xml:space="preserve"> "In clinical_pipeline.py, we implemented a strict architectural firewall: BioPortal concepts are consumed exclusively as read-only contextual evidence for acuity ranking. They are never appended to the patient's primary reported symptom list, guaranteeing zero false-positive clinical hallucination."</w:t>
      </w:r>
    </w:p>
    <w:p>
      <w:pPr>
        <w:pStyle w:val="ListBullet"/>
        <w:spacing w:before="0" w:after="60" w:line="276" w:lineRule="auto"/>
        <w:ind w:left="360"/>
      </w:pPr>
      <w:r>
        <w:rPr>
          <w:rFonts w:ascii="Segoe UI" w:hAnsi="Segoe UI"/>
          <w:b/>
          <w:color w:val="1E293B"/>
          <w:sz w:val="20"/>
        </w:rPr>
        <w:t>Q14: 'What happens if BioPortal API is down or the clinic has no internet?':</w:t>
      </w:r>
      <w:r>
        <w:rPr>
          <w:rFonts w:ascii="Segoe UI" w:hAnsi="Segoe UI"/>
          <w:color w:val="1E293B"/>
          <w:sz w:val="20"/>
        </w:rPr>
        <w:t xml:space="preserve"> "We built an automated Circuit Breaker with a 60-second backoff in api/bioportal.py. If the cloud API times out or internet drops, queries instantly fall back to our embedded OFFLINE_CLINICAL_ONTOLOGIES dictionary, returning full SNOMED-CT codes and definitions in &lt;1ms without dropping the user's workflow."</w:t>
      </w:r>
    </w:p>
    <w:p>
      <w:pPr>
        <w:keepNext/>
        <w:spacing w:before="360" w:after="120"/>
      </w:pPr>
      <w:r>
        <w:rPr>
          <w:rFonts w:ascii="Segoe UI" w:hAnsi="Segoe UI"/>
          <w:b/>
          <w:color w:val="0A2540"/>
          <w:sz w:val="32"/>
        </w:rPr>
        <w:t>6. Comprehensive AI/ML Models, Live APIs &amp; Deep Technical Architecture Defense</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[Comprehensive Machine Learning &amp; API Architecture Sign-Off]</w:t>
              <w:br/>
            </w:r>
            <w:r>
              <w:rPr>
                <w:rFonts w:ascii="Segoe UI" w:hAnsi="Segoe UI"/>
                <w:color w:val="1E293B"/>
                <w:sz w:val="19"/>
              </w:rPr>
              <w:t>PLATFORM TECHNICAL SPECIFICATION &amp; BENCHMARKS:</w:t>
              <w:br/>
              <w:t>• Clinical Disease Prediction Model: Scikit-Learn Random Forest Classifier (99.01% Train Acc, 97.8% 5-Fold CV, 50 Trees, 280 Features, 101 Diseases, 5.5 MB pickle, sub-millisecond inference).</w:t>
              <w:br/>
              <w:t>• Medicine Demand Forecaster: HMIS Time-Series Random Forest Regressor (6.53% WAPE, 0.9839 R², MAE 12.17, RMSE 19.50, 20,904 MoHFW records, zero leakage).</w:t>
              <w:br/>
              <w:t>• 6 Active Live APIs: Google Gemini Vision, Groq Cloud LLM (LLaMA-3.3 70B &amp; Qwen 27B), OpenStreetMap Overpass GIS, WHO Outbreak News REST, OpenFDA / DailyMed, Supabase Cloud PostgreSQL RLS.</w:t>
              <w:br/>
              <w:t>• Operational Stockout Risk Engine: Categorized honestly as RULE_BASED (Critical &lt;3d, Urgent &lt;7d, Watchlist &lt;14d, Safe &gt;=14d).</w:t>
              <w:br/>
              <w:t>• Clinical Knowledge Graph: ICD-11 Bipartite Scoring (1.6x multiplier for mandatory symptoms) + 35 Red Flag safety protocols.</w:t>
              <w:br/>
              <w:t>• Medical Foundation LLMs: Dynamic care prescriptions, food timing (After Food vs Empty Stomach), and allergy shields.</w:t>
            </w:r>
          </w:p>
        </w:tc>
      </w:tr>
    </w:tbl>
    <w:p>
      <w:pPr>
        <w:spacing w:before="80" w:after="80"/>
      </w:pPr>
    </w:p>
    <w:p>
      <w:pPr>
        <w:keepNext/>
        <w:spacing w:before="240" w:after="80"/>
      </w:pPr>
      <w:r>
        <w:rPr>
          <w:rFonts w:ascii="Segoe UI" w:hAnsi="Segoe UI"/>
          <w:b/>
          <w:color w:val="0077B6"/>
          <w:sz w:val="25"/>
        </w:rPr>
        <w:t>6.1 Model 1: Clinical Disease Prediction Model (Local Engine)</w:t>
      </w:r>
    </w:p>
    <w:p>
      <w:pPr>
        <w:spacing w:before="0" w:after="80" w:line="276" w:lineRule="auto"/>
      </w:pPr>
      <w:r>
        <w:rPr>
          <w:rFonts w:ascii="Segoe UI" w:hAnsi="Segoe UI"/>
          <w:i w:val="0"/>
          <w:color w:val="1E293B"/>
          <w:sz w:val="20"/>
        </w:rPr>
        <w:t>The diagnostic backbone of DocMindX AI is a locally trained, fully serialized Scikit-Learn RandomForestClassifier:</w:t>
      </w:r>
    </w:p>
    <w:p>
      <w:pPr>
        <w:pStyle w:val="ListBullet"/>
        <w:spacing w:before="0" w:after="60" w:line="276" w:lineRule="auto"/>
        <w:ind w:left="360"/>
      </w:pPr>
      <w:r>
        <w:rPr>
          <w:rFonts w:ascii="Segoe UI" w:hAnsi="Segoe UI"/>
          <w:b/>
          <w:color w:val="1E293B"/>
          <w:sz w:val="20"/>
        </w:rPr>
        <w:t>• Benchmark Performance:</w:t>
      </w:r>
      <w:r>
        <w:rPr>
          <w:rFonts w:ascii="Segoe UI" w:hAnsi="Segoe UI"/>
          <w:color w:val="1E293B"/>
          <w:sz w:val="20"/>
        </w:rPr>
        <w:t xml:space="preserve"> Achieved 99.01% Training Accuracy and 97.80% 5-Fold Cross-Validation Accuracy across 101+ WHO ICD-11 aligned disease classes.</w:t>
      </w:r>
    </w:p>
    <w:p>
      <w:pPr>
        <w:pStyle w:val="ListBullet"/>
        <w:spacing w:before="0" w:after="60" w:line="276" w:lineRule="auto"/>
        <w:ind w:left="360"/>
      </w:pPr>
      <w:r>
        <w:rPr>
          <w:rFonts w:ascii="Segoe UI" w:hAnsi="Segoe UI"/>
          <w:b/>
          <w:color w:val="1E293B"/>
          <w:sz w:val="20"/>
        </w:rPr>
        <w:t>• Ensemble Configuration:</w:t>
      </w:r>
      <w:r>
        <w:rPr>
          <w:rFonts w:ascii="Segoe UI" w:hAnsi="Segoe UI"/>
          <w:color w:val="1E293B"/>
          <w:sz w:val="20"/>
        </w:rPr>
        <w:t xml:space="preserve"> 50 specialized decision trees trained using Gini impurity splitting criteria in train.py, preventing individual tree overfitting while maintaining ensemble stability.</w:t>
      </w:r>
    </w:p>
    <w:p>
      <w:pPr>
        <w:pStyle w:val="ListBullet"/>
        <w:spacing w:before="0" w:after="60" w:line="276" w:lineRule="auto"/>
        <w:ind w:left="360"/>
      </w:pPr>
      <w:r>
        <w:rPr>
          <w:rFonts w:ascii="Segoe UI" w:hAnsi="Segoe UI"/>
          <w:b/>
          <w:color w:val="1E293B"/>
          <w:sz w:val="20"/>
        </w:rPr>
        <w:t>• Feature Engineering:</w:t>
      </w:r>
      <w:r>
        <w:rPr>
          <w:rFonts w:ascii="Segoe UI" w:hAnsi="Segoe UI"/>
          <w:color w:val="1E293B"/>
          <w:sz w:val="20"/>
        </w:rPr>
        <w:t xml:space="preserve"> Bipartite mappings from symptoms_master.csv convert colloquial patient symptom sets into 280-dimensional binary indicator vectors (0 or 1).</w:t>
      </w:r>
    </w:p>
    <w:p>
      <w:pPr>
        <w:pStyle w:val="ListBullet"/>
        <w:spacing w:before="0" w:after="60" w:line="276" w:lineRule="auto"/>
        <w:ind w:left="360"/>
      </w:pPr>
      <w:r>
        <w:rPr>
          <w:rFonts w:ascii="Segoe UI" w:hAnsi="Segoe UI"/>
          <w:b/>
          <w:color w:val="1E293B"/>
          <w:sz w:val="20"/>
        </w:rPr>
        <w:t>• Model Serialization:</w:t>
      </w:r>
      <w:r>
        <w:rPr>
          <w:rFonts w:ascii="Segoe UI" w:hAnsi="Segoe UI"/>
          <w:color w:val="1E293B"/>
          <w:sz w:val="20"/>
        </w:rPr>
        <w:t xml:space="preserve"> Pre-trained weights are serialized into models/disease_model.pkl (5.5 MB), enabling instantaneous sub-millisecond local inference on edge CPUs with zero cloud dependency.</w:t>
      </w:r>
    </w:p>
    <w:p>
      <w:pPr>
        <w:keepNext/>
        <w:spacing w:before="240" w:after="80"/>
      </w:pPr>
      <w:r>
        <w:rPr>
          <w:rFonts w:ascii="Segoe UI" w:hAnsi="Segoe UI"/>
          <w:b/>
          <w:color w:val="0077B6"/>
          <w:sz w:val="25"/>
        </w:rPr>
        <w:t>6.2 Model 2: Medicine Demand Forecasting Model (HMIS Supply Chain)</w:t>
      </w:r>
    </w:p>
    <w:p>
      <w:pPr>
        <w:spacing w:before="0" w:after="80" w:line="276" w:lineRule="auto"/>
      </w:pPr>
      <w:r>
        <w:rPr>
          <w:rFonts w:ascii="Segoe UI" w:hAnsi="Segoe UI"/>
          <w:i w:val="0"/>
          <w:color w:val="1E293B"/>
          <w:sz w:val="20"/>
        </w:rPr>
        <w:t>To eliminate drug stockouts across public health facilities, DocMindX AI incorporates an audited time-series Random Forest Regressor:</w:t>
      </w:r>
    </w:p>
    <w:p>
      <w:pPr>
        <w:pStyle w:val="ListBullet"/>
        <w:spacing w:before="0" w:after="60" w:line="276" w:lineRule="auto"/>
        <w:ind w:left="360"/>
      </w:pPr>
      <w:r>
        <w:rPr>
          <w:rFonts w:ascii="Segoe UI" w:hAnsi="Segoe UI"/>
          <w:b/>
          <w:color w:val="1E293B"/>
          <w:sz w:val="20"/>
        </w:rPr>
        <w:t>• Error Metrics &amp; Accuracy:</w:t>
      </w:r>
      <w:r>
        <w:rPr>
          <w:rFonts w:ascii="Segoe UI" w:hAnsi="Segoe UI"/>
          <w:color w:val="1E293B"/>
          <w:sz w:val="20"/>
        </w:rPr>
        <w:t xml:space="preserve"> 6.53% Weighted Absolute Percentage Error (WAPE) on held-out test sets, 0.9839 R² Variance Explained, 12.17 Mean Absolute Error (MAE), and 19.50 Root Mean Squared Error (RMSE).</w:t>
      </w:r>
    </w:p>
    <w:p>
      <w:pPr>
        <w:pStyle w:val="ListBullet"/>
        <w:spacing w:before="0" w:after="60" w:line="276" w:lineRule="auto"/>
        <w:ind w:left="360"/>
      </w:pPr>
      <w:r>
        <w:rPr>
          <w:rFonts w:ascii="Segoe UI" w:hAnsi="Segoe UI"/>
          <w:b/>
          <w:color w:val="1E293B"/>
          <w:sz w:val="20"/>
        </w:rPr>
        <w:t>• Dataset &amp; Provenance:</w:t>
      </w:r>
      <w:r>
        <w:rPr>
          <w:rFonts w:ascii="Segoe UI" w:hAnsi="Segoe UI"/>
          <w:color w:val="1E293B"/>
          <w:sz w:val="20"/>
        </w:rPr>
        <w:t xml:space="preserve"> Ingested 20,904 institutional medicine consumption records from the official Ministry of Health &amp; Family Welfare (MoHFW) HMIS dataset, partitioned chronologically to guarantee zero future data leakage.</w:t>
      </w:r>
    </w:p>
    <w:p>
      <w:pPr>
        <w:pStyle w:val="ListBullet"/>
        <w:spacing w:before="0" w:after="60" w:line="276" w:lineRule="auto"/>
        <w:ind w:left="360"/>
      </w:pPr>
      <w:r>
        <w:rPr>
          <w:rFonts w:ascii="Segoe UI" w:hAnsi="Segoe UI"/>
          <w:b/>
          <w:color w:val="1E293B"/>
          <w:sz w:val="20"/>
        </w:rPr>
        <w:t>• Feature Lagging:</w:t>
      </w:r>
      <w:r>
        <w:rPr>
          <w:rFonts w:ascii="Segoe UI" w:hAnsi="Segoe UI"/>
          <w:color w:val="1E293B"/>
          <w:sz w:val="20"/>
        </w:rPr>
        <w:t xml:space="preserve"> Engineered 4-week and 12-week rolling consumption trends combined with IMD seasonal meteorological indices (precipitation and temperature).</w:t>
      </w:r>
    </w:p>
    <w:p>
      <w:pPr>
        <w:pStyle w:val="ListBullet"/>
        <w:spacing w:before="0" w:after="60" w:line="276" w:lineRule="auto"/>
        <w:ind w:left="360"/>
      </w:pPr>
      <w:r>
        <w:rPr>
          <w:rFonts w:ascii="Segoe UI" w:hAnsi="Segoe UI"/>
          <w:b/>
          <w:color w:val="1E293B"/>
          <w:sz w:val="20"/>
        </w:rPr>
        <w:t>• Model Serialization &amp; Buffer:</w:t>
      </w:r>
      <w:r>
        <w:rPr>
          <w:rFonts w:ascii="Segoe UI" w:hAnsi="Segoe UI"/>
          <w:color w:val="1E293B"/>
          <w:sz w:val="20"/>
        </w:rPr>
        <w:t xml:space="preserve"> Serialized in models/demand_model.pkl with an empirical residual uncertainty standard error buffer (±19.50 units) for risk-adjusted replenishment planning.</w:t>
      </w:r>
    </w:p>
    <w:p>
      <w:pPr>
        <w:keepNext/>
        <w:spacing w:before="240" w:after="80"/>
      </w:pPr>
      <w:r>
        <w:rPr>
          <w:rFonts w:ascii="Segoe UI" w:hAnsi="Segoe UI"/>
          <w:b/>
          <w:color w:val="0077B6"/>
          <w:sz w:val="25"/>
        </w:rPr>
        <w:t>6.3 The 6 Active Live APIs &amp; Cloud Integration Ecosystem</w:t>
      </w:r>
    </w:p>
    <w:p>
      <w:pPr>
        <w:spacing w:before="0" w:after="80" w:line="276" w:lineRule="auto"/>
      </w:pPr>
      <w:r>
        <w:rPr>
          <w:rFonts w:ascii="Segoe UI" w:hAnsi="Segoe UI"/>
          <w:i w:val="0"/>
          <w:color w:val="1E293B"/>
          <w:sz w:val="20"/>
        </w:rPr>
        <w:t>DocMindX AI seamlessly orchestrates 6 enterprise-grade APIs for live medical intelligence, computer vision, geospatial routing, and cloud persistence: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04"/>
            <w:shd w:fill="0A2540"/>
          </w:tcPr>
          <w:p>
            <w:pPr>
              <w:spacing w:before="80" w:after="80"/>
              <w:jc w:val="left"/>
            </w:pPr>
            <w:r>
              <w:rPr>
                <w:rFonts w:ascii="Segoe UI" w:hAnsi="Segoe UI"/>
                <w:b/>
                <w:color w:val="FFFFFF"/>
                <w:sz w:val="19"/>
              </w:rPr>
              <w:t>API Service &amp; Provider</w:t>
            </w:r>
          </w:p>
        </w:tc>
        <w:tc>
          <w:tcPr>
            <w:tcW w:type="dxa" w:w="1872"/>
            <w:shd w:fill="0A2540"/>
          </w:tcPr>
          <w:p>
            <w:pPr>
              <w:spacing w:before="80" w:after="80"/>
              <w:jc w:val="left"/>
            </w:pPr>
            <w:r>
              <w:rPr>
                <w:rFonts w:ascii="Segoe UI" w:hAnsi="Segoe UI"/>
                <w:b/>
                <w:color w:val="FFFFFF"/>
                <w:sz w:val="19"/>
              </w:rPr>
              <w:t>Protocol &amp; Type</w:t>
            </w:r>
          </w:p>
        </w:tc>
        <w:tc>
          <w:tcPr>
            <w:tcW w:type="dxa" w:w="3168"/>
            <w:shd w:fill="0A2540"/>
          </w:tcPr>
          <w:p>
            <w:pPr>
              <w:spacing w:before="80" w:after="80"/>
              <w:jc w:val="left"/>
            </w:pPr>
            <w:r>
              <w:rPr>
                <w:rFonts w:ascii="Segoe UI" w:hAnsi="Segoe UI"/>
                <w:b/>
                <w:color w:val="FFFFFF"/>
                <w:sz w:val="19"/>
              </w:rPr>
              <w:t>Operational Role in DocMindX AI</w:t>
            </w:r>
          </w:p>
        </w:tc>
        <w:tc>
          <w:tcPr>
            <w:tcW w:type="dxa" w:w="3024"/>
            <w:shd w:fill="0A2540"/>
          </w:tcPr>
          <w:p>
            <w:pPr>
              <w:spacing w:before="80" w:after="80"/>
              <w:jc w:val="left"/>
            </w:pPr>
            <w:r>
              <w:rPr>
                <w:rFonts w:ascii="Segoe UI" w:hAnsi="Segoe UI"/>
                <w:b/>
                <w:color w:val="FFFFFF"/>
                <w:sz w:val="19"/>
              </w:rPr>
              <w:t>Safety / Performance Feature</w:t>
            </w:r>
          </w:p>
        </w:tc>
      </w:tr>
      <w:tr>
        <w:tc>
          <w:tcPr>
            <w:tcW w:type="dxa" w:w="2304"/>
            <w:shd w:fill="FFFFFF"/>
          </w:tcPr>
          <w:p>
            <w:pPr>
              <w:spacing w:before="60" w:after="60"/>
              <w:jc w:val="left"/>
            </w:pPr>
            <w:r>
              <w:rPr>
                <w:rFonts w:ascii="Segoe UI" w:hAnsi="Segoe UI"/>
                <w:color w:val="1E293B"/>
                <w:sz w:val="18"/>
              </w:rPr>
              <w:t>Google Gemini Multimodal Vision API</w:t>
            </w:r>
          </w:p>
        </w:tc>
        <w:tc>
          <w:tcPr>
            <w:tcW w:type="dxa" w:w="1872"/>
            <w:shd w:fill="FFFFFF"/>
          </w:tcPr>
          <w:p>
            <w:pPr>
              <w:spacing w:before="60" w:after="60"/>
              <w:jc w:val="left"/>
            </w:pPr>
            <w:r>
              <w:rPr>
                <w:rFonts w:ascii="Segoe UI" w:hAnsi="Segoe UI"/>
                <w:color w:val="1E293B"/>
                <w:sz w:val="18"/>
              </w:rPr>
              <w:t>HTTPS REST (Gemini Flash)</w:t>
            </w:r>
          </w:p>
        </w:tc>
        <w:tc>
          <w:tcPr>
            <w:tcW w:type="dxa" w:w="3168"/>
            <w:shd w:fill="FFFFFF"/>
          </w:tcPr>
          <w:p>
            <w:pPr>
              <w:spacing w:before="60" w:after="60"/>
              <w:jc w:val="left"/>
            </w:pPr>
            <w:r>
              <w:rPr>
                <w:rFonts w:ascii="Segoe UI" w:hAnsi="Segoe UI"/>
                <w:color w:val="1E293B"/>
                <w:sz w:val="18"/>
              </w:rPr>
              <w:t>Scans handwritten prescriptions and complex blood lab reports (CBC, LFT, KFT, Lipid, HbA1c).</w:t>
            </w:r>
          </w:p>
        </w:tc>
        <w:tc>
          <w:tcPr>
            <w:tcW w:type="dxa" w:w="3024"/>
            <w:shd w:fill="FFFFFF"/>
          </w:tcPr>
          <w:p>
            <w:pPr>
              <w:spacing w:before="60" w:after="60"/>
              <w:jc w:val="left"/>
            </w:pPr>
            <w:r>
              <w:rPr>
                <w:rFonts w:ascii="Segoe UI" w:hAnsi="Segoe UI"/>
                <w:color w:val="1E293B"/>
                <w:sz w:val="18"/>
              </w:rPr>
              <w:t>Extracts tabular biomarkers and cursive doctor handwriting with clinical semantic understanding.</w:t>
            </w:r>
          </w:p>
        </w:tc>
      </w:tr>
      <w:tr>
        <w:tc>
          <w:tcPr>
            <w:tcW w:type="dxa" w:w="2304"/>
            <w:shd w:fill="F8FAFC"/>
          </w:tcPr>
          <w:p>
            <w:pPr>
              <w:spacing w:before="60" w:after="60"/>
              <w:jc w:val="left"/>
            </w:pPr>
            <w:r>
              <w:rPr>
                <w:rFonts w:ascii="Segoe UI" w:hAnsi="Segoe UI"/>
                <w:color w:val="1E293B"/>
                <w:sz w:val="18"/>
              </w:rPr>
              <w:t>Groq Cloud LLM Engine (LLaMA-3.3 70B &amp; Qwen)</w:t>
            </w:r>
          </w:p>
        </w:tc>
        <w:tc>
          <w:tcPr>
            <w:tcW w:type="dxa" w:w="1872"/>
            <w:shd w:fill="F8FAFC"/>
          </w:tcPr>
          <w:p>
            <w:pPr>
              <w:spacing w:before="60" w:after="60"/>
              <w:jc w:val="left"/>
            </w:pPr>
            <w:r>
              <w:rPr>
                <w:rFonts w:ascii="Segoe UI" w:hAnsi="Segoe UI"/>
                <w:color w:val="1E293B"/>
                <w:sz w:val="18"/>
              </w:rPr>
              <w:t>High-Speed Inference Engine</w:t>
            </w:r>
          </w:p>
        </w:tc>
        <w:tc>
          <w:tcPr>
            <w:tcW w:type="dxa" w:w="3168"/>
            <w:shd w:fill="F8FAFC"/>
          </w:tcPr>
          <w:p>
            <w:pPr>
              <w:spacing w:before="60" w:after="60"/>
              <w:jc w:val="left"/>
            </w:pPr>
            <w:r>
              <w:rPr>
                <w:rFonts w:ascii="Segoe UI" w:hAnsi="Segoe UI"/>
                <w:color w:val="1E293B"/>
                <w:sz w:val="18"/>
              </w:rPr>
              <w:t>Delivers sub-second clinical triage reasoning, drug-drug interaction evaluations, and personalized regimens.</w:t>
            </w:r>
          </w:p>
        </w:tc>
        <w:tc>
          <w:tcPr>
            <w:tcW w:type="dxa" w:w="3024"/>
            <w:shd w:fill="F8FAFC"/>
          </w:tcPr>
          <w:p>
            <w:pPr>
              <w:spacing w:before="60" w:after="60"/>
              <w:jc w:val="left"/>
            </w:pPr>
            <w:r>
              <w:rPr>
                <w:rFonts w:ascii="Segoe UI" w:hAnsi="Segoe UI"/>
                <w:color w:val="1E293B"/>
                <w:sz w:val="18"/>
              </w:rPr>
              <w:t>Sub-second token generation (&lt;600ms latency) for conversational explanations.</w:t>
            </w:r>
          </w:p>
        </w:tc>
      </w:tr>
      <w:tr>
        <w:tc>
          <w:tcPr>
            <w:tcW w:type="dxa" w:w="2304"/>
            <w:shd w:fill="FFFFFF"/>
          </w:tcPr>
          <w:p>
            <w:pPr>
              <w:spacing w:before="60" w:after="60"/>
              <w:jc w:val="left"/>
            </w:pPr>
            <w:r>
              <w:rPr>
                <w:rFonts w:ascii="Segoe UI" w:hAnsi="Segoe UI"/>
                <w:color w:val="1E293B"/>
                <w:sz w:val="18"/>
              </w:rPr>
              <w:t>OpenStreetMap Overpass Healthcare GIS API</w:t>
            </w:r>
          </w:p>
        </w:tc>
        <w:tc>
          <w:tcPr>
            <w:tcW w:type="dxa" w:w="1872"/>
            <w:shd w:fill="FFFFFF"/>
          </w:tcPr>
          <w:p>
            <w:pPr>
              <w:spacing w:before="60" w:after="60"/>
              <w:jc w:val="left"/>
            </w:pPr>
            <w:r>
              <w:rPr>
                <w:rFonts w:ascii="Segoe UI" w:hAnsi="Segoe UI"/>
                <w:color w:val="1E293B"/>
                <w:sz w:val="18"/>
              </w:rPr>
              <w:t>Overpass QL (GeoJSON)</w:t>
            </w:r>
          </w:p>
        </w:tc>
        <w:tc>
          <w:tcPr>
            <w:tcW w:type="dxa" w:w="3168"/>
            <w:shd w:fill="FFFFFF"/>
          </w:tcPr>
          <w:p>
            <w:pPr>
              <w:spacing w:before="60" w:after="60"/>
              <w:jc w:val="left"/>
            </w:pPr>
            <w:r>
              <w:rPr>
                <w:rFonts w:ascii="Segoe UI" w:hAnsi="Segoe UI"/>
                <w:color w:val="1E293B"/>
                <w:sz w:val="18"/>
              </w:rPr>
              <w:t>Dynamically discovers registered 24/7 emergency hospitals, trauma units, and pharmacies within 1 to 25 km.</w:t>
            </w:r>
          </w:p>
        </w:tc>
        <w:tc>
          <w:tcPr>
            <w:tcW w:type="dxa" w:w="3024"/>
            <w:shd w:fill="FFFFFF"/>
          </w:tcPr>
          <w:p>
            <w:pPr>
              <w:spacing w:before="60" w:after="60"/>
              <w:jc w:val="left"/>
            </w:pPr>
            <w:r>
              <w:rPr>
                <w:rFonts w:ascii="Segoe UI" w:hAnsi="Segoe UI"/>
                <w:color w:val="1E293B"/>
                <w:sz w:val="18"/>
              </w:rPr>
              <w:t>Zero commercial API fees, dynamic perimeter radius slider, strict patient location privacy.</w:t>
            </w:r>
          </w:p>
        </w:tc>
      </w:tr>
      <w:tr>
        <w:tc>
          <w:tcPr>
            <w:tcW w:type="dxa" w:w="2304"/>
            <w:shd w:fill="F8FAFC"/>
          </w:tcPr>
          <w:p>
            <w:pPr>
              <w:spacing w:before="60" w:after="60"/>
              <w:jc w:val="left"/>
            </w:pPr>
            <w:r>
              <w:rPr>
                <w:rFonts w:ascii="Segoe UI" w:hAnsi="Segoe UI"/>
                <w:color w:val="1E293B"/>
                <w:sz w:val="18"/>
              </w:rPr>
              <w:t>WHO Disease Outbreak News (DON REST API)</w:t>
            </w:r>
          </w:p>
        </w:tc>
        <w:tc>
          <w:tcPr>
            <w:tcW w:type="dxa" w:w="1872"/>
            <w:shd w:fill="F8FAFC"/>
          </w:tcPr>
          <w:p>
            <w:pPr>
              <w:spacing w:before="60" w:after="60"/>
              <w:jc w:val="left"/>
            </w:pPr>
            <w:r>
              <w:rPr>
                <w:rFonts w:ascii="Segoe UI" w:hAnsi="Segoe UI"/>
                <w:color w:val="1E293B"/>
                <w:sz w:val="18"/>
              </w:rPr>
              <w:t>Automated Ingestion Feed</w:t>
            </w:r>
          </w:p>
        </w:tc>
        <w:tc>
          <w:tcPr>
            <w:tcW w:type="dxa" w:w="3168"/>
            <w:shd w:fill="F8FAFC"/>
          </w:tcPr>
          <w:p>
            <w:pPr>
              <w:spacing w:before="60" w:after="60"/>
              <w:jc w:val="left"/>
            </w:pPr>
            <w:r>
              <w:rPr>
                <w:rFonts w:ascii="Segoe UI" w:hAnsi="Segoe UI"/>
                <w:color w:val="1E293B"/>
                <w:sz w:val="18"/>
              </w:rPr>
              <w:t>Automated live ingestion of 100+ global and national epidemic alerts for public health surveillance.</w:t>
            </w:r>
          </w:p>
        </w:tc>
        <w:tc>
          <w:tcPr>
            <w:tcW w:type="dxa" w:w="3024"/>
            <w:shd w:fill="F8FAFC"/>
          </w:tcPr>
          <w:p>
            <w:pPr>
              <w:spacing w:before="60" w:after="60"/>
              <w:jc w:val="left"/>
            </w:pPr>
            <w:r>
              <w:rPr>
                <w:rFonts w:ascii="Segoe UI" w:hAnsi="Segoe UI"/>
                <w:color w:val="1E293B"/>
                <w:sz w:val="18"/>
              </w:rPr>
              <w:t>Correlates local symptom clusters with active global/national epidemic alerts.</w:t>
            </w:r>
          </w:p>
        </w:tc>
      </w:tr>
      <w:tr>
        <w:tc>
          <w:tcPr>
            <w:tcW w:type="dxa" w:w="2304"/>
            <w:shd w:fill="FFFFFF"/>
          </w:tcPr>
          <w:p>
            <w:pPr>
              <w:spacing w:before="60" w:after="60"/>
              <w:jc w:val="left"/>
            </w:pPr>
            <w:r>
              <w:rPr>
                <w:rFonts w:ascii="Segoe UI" w:hAnsi="Segoe UI"/>
                <w:color w:val="1E293B"/>
                <w:sz w:val="18"/>
              </w:rPr>
              <w:t>OpenFDA &amp; NIH DailyMed Drug Database APIs</w:t>
            </w:r>
          </w:p>
        </w:tc>
        <w:tc>
          <w:tcPr>
            <w:tcW w:type="dxa" w:w="1872"/>
            <w:shd w:fill="FFFFFF"/>
          </w:tcPr>
          <w:p>
            <w:pPr>
              <w:spacing w:before="60" w:after="60"/>
              <w:jc w:val="left"/>
            </w:pPr>
            <w:r>
              <w:rPr>
                <w:rFonts w:ascii="Segoe UI" w:hAnsi="Segoe UI"/>
                <w:color w:val="1E293B"/>
                <w:sz w:val="18"/>
              </w:rPr>
              <w:t>JSON REST / NDC Query</w:t>
            </w:r>
          </w:p>
        </w:tc>
        <w:tc>
          <w:tcPr>
            <w:tcW w:type="dxa" w:w="3168"/>
            <w:shd w:fill="FFFFFF"/>
          </w:tcPr>
          <w:p>
            <w:pPr>
              <w:spacing w:before="60" w:after="60"/>
              <w:jc w:val="left"/>
            </w:pPr>
            <w:r>
              <w:rPr>
                <w:rFonts w:ascii="Segoe UI" w:hAnsi="Segoe UI"/>
                <w:color w:val="1E293B"/>
                <w:sz w:val="18"/>
              </w:rPr>
              <w:t>Cross-references pharmaceutical chemical compounds, NDC codes, adverse reactions, and contraindications.</w:t>
            </w:r>
          </w:p>
        </w:tc>
        <w:tc>
          <w:tcPr>
            <w:tcW w:type="dxa" w:w="3024"/>
            <w:shd w:fill="FFFFFF"/>
          </w:tcPr>
          <w:p>
            <w:pPr>
              <w:spacing w:before="60" w:after="60"/>
              <w:jc w:val="left"/>
            </w:pPr>
            <w:r>
              <w:rPr>
                <w:rFonts w:ascii="Segoe UI" w:hAnsi="Segoe UI"/>
                <w:color w:val="1E293B"/>
                <w:sz w:val="18"/>
              </w:rPr>
              <w:t>Hard-blocks 32 fatal drug-drug interactions and 58 disease contraindications.</w:t>
            </w:r>
          </w:p>
        </w:tc>
      </w:tr>
      <w:tr>
        <w:tc>
          <w:tcPr>
            <w:tcW w:type="dxa" w:w="2304"/>
            <w:shd w:fill="F8FAFC"/>
          </w:tcPr>
          <w:p>
            <w:pPr>
              <w:spacing w:before="60" w:after="60"/>
              <w:jc w:val="left"/>
            </w:pPr>
            <w:r>
              <w:rPr>
                <w:rFonts w:ascii="Segoe UI" w:hAnsi="Segoe UI"/>
                <w:color w:val="1E293B"/>
                <w:sz w:val="18"/>
              </w:rPr>
              <w:t>Supabase Cloud PostgreSQL &amp; Auth API</w:t>
            </w:r>
          </w:p>
        </w:tc>
        <w:tc>
          <w:tcPr>
            <w:tcW w:type="dxa" w:w="1872"/>
            <w:shd w:fill="F8FAFC"/>
          </w:tcPr>
          <w:p>
            <w:pPr>
              <w:spacing w:before="60" w:after="60"/>
              <w:jc w:val="left"/>
            </w:pPr>
            <w:r>
              <w:rPr>
                <w:rFonts w:ascii="Segoe UI" w:hAnsi="Segoe UI"/>
                <w:color w:val="1E293B"/>
                <w:sz w:val="18"/>
              </w:rPr>
              <w:t>PostgreSQL with RLS</w:t>
            </w:r>
          </w:p>
        </w:tc>
        <w:tc>
          <w:tcPr>
            <w:tcW w:type="dxa" w:w="3168"/>
            <w:shd w:fill="F8FAFC"/>
          </w:tcPr>
          <w:p>
            <w:pPr>
              <w:spacing w:before="60" w:after="60"/>
              <w:jc w:val="left"/>
            </w:pPr>
            <w:r>
              <w:rPr>
                <w:rFonts w:ascii="Segoe UI" w:hAnsi="Segoe UI"/>
                <w:color w:val="1E293B"/>
                <w:sz w:val="18"/>
              </w:rPr>
              <w:t>Encrypted storage for patient consultation drafts, family health circles, and tamper-proof audit trails.</w:t>
            </w:r>
          </w:p>
        </w:tc>
        <w:tc>
          <w:tcPr>
            <w:tcW w:type="dxa" w:w="3024"/>
            <w:shd w:fill="F8FAFC"/>
          </w:tcPr>
          <w:p>
            <w:pPr>
              <w:spacing w:before="60" w:after="60"/>
              <w:jc w:val="left"/>
            </w:pPr>
            <w:r>
              <w:rPr>
                <w:rFonts w:ascii="Segoe UI" w:hAnsi="Segoe UI"/>
                <w:color w:val="1E293B"/>
                <w:sz w:val="18"/>
              </w:rPr>
              <w:t>Row-Level Security (RLS) ensures users only access their own private medical records.</w:t>
            </w:r>
          </w:p>
        </w:tc>
      </w:tr>
    </w:tbl>
    <w:p>
      <w:pPr>
        <w:spacing w:before="120" w:after="80"/>
      </w:pPr>
    </w:p>
    <w:p>
      <w:pPr>
        <w:keepNext/>
        <w:spacing w:before="240" w:after="80"/>
      </w:pPr>
      <w:r>
        <w:rPr>
          <w:rFonts w:ascii="Segoe UI" w:hAnsi="Segoe UI"/>
          <w:b/>
          <w:color w:val="0077B6"/>
          <w:sz w:val="25"/>
        </w:rPr>
        <w:t>6.4 Operational Stockout Risk Engine (Deterministic Rule-Based Engine)</w:t>
      </w:r>
    </w:p>
    <w:p>
      <w:pPr>
        <w:spacing w:before="0" w:after="80" w:line="276" w:lineRule="auto"/>
      </w:pPr>
      <w:r>
        <w:rPr>
          <w:rFonts w:ascii="Segoe UI" w:hAnsi="Segoe UI"/>
          <w:i w:val="0"/>
          <w:color w:val="1E293B"/>
          <w:sz w:val="20"/>
        </w:rPr>
        <w:t>In healthcare logistics, false precision from black-box ML classifiers can cause catastrophic medicine stockouts. We deliberately designed the Stockout Risk Engine as a deterministic, audited rule-based system based on Days of Inventory Remaining (DOIR):</w:t>
      </w:r>
    </w:p>
    <w:p>
      <w:pPr>
        <w:pStyle w:val="ListBullet"/>
        <w:spacing w:before="0" w:after="60" w:line="276" w:lineRule="auto"/>
        <w:ind w:left="360"/>
      </w:pPr>
      <w:r>
        <w:rPr>
          <w:rFonts w:ascii="Segoe UI" w:hAnsi="Segoe UI"/>
          <w:b/>
          <w:color w:val="1E293B"/>
          <w:sz w:val="20"/>
        </w:rPr>
        <w:t>• Critical Risk Threshold:</w:t>
      </w:r>
      <w:r>
        <w:rPr>
          <w:rFonts w:ascii="Segoe UI" w:hAnsi="Segoe UI"/>
          <w:color w:val="1E293B"/>
          <w:sz w:val="20"/>
        </w:rPr>
        <w:t xml:space="preserve"> Stock &lt; 3 Days remaining. Triggers immediate administrative red flag and automated inter-facility medicine transfer manifest.</w:t>
      </w:r>
    </w:p>
    <w:p>
      <w:pPr>
        <w:pStyle w:val="ListBullet"/>
        <w:spacing w:before="0" w:after="60" w:line="276" w:lineRule="auto"/>
        <w:ind w:left="360"/>
      </w:pPr>
      <w:r>
        <w:rPr>
          <w:rFonts w:ascii="Segoe UI" w:hAnsi="Segoe UI"/>
          <w:b/>
          <w:color w:val="1E293B"/>
          <w:sz w:val="20"/>
        </w:rPr>
        <w:t>• Urgent Risk Threshold:</w:t>
      </w:r>
      <w:r>
        <w:rPr>
          <w:rFonts w:ascii="Segoe UI" w:hAnsi="Segoe UI"/>
          <w:color w:val="1E293B"/>
          <w:sz w:val="20"/>
        </w:rPr>
        <w:t xml:space="preserve"> Stock &lt; 7 Days remaining. Triggers priority replenishment alert for district warehouse procurement.</w:t>
      </w:r>
    </w:p>
    <w:p>
      <w:pPr>
        <w:pStyle w:val="ListBullet"/>
        <w:spacing w:before="0" w:after="60" w:line="276" w:lineRule="auto"/>
        <w:ind w:left="360"/>
      </w:pPr>
      <w:r>
        <w:rPr>
          <w:rFonts w:ascii="Segoe UI" w:hAnsi="Segoe UI"/>
          <w:b/>
          <w:color w:val="1E293B"/>
          <w:sz w:val="20"/>
        </w:rPr>
        <w:t>• Watchlist Threshold:</w:t>
      </w:r>
      <w:r>
        <w:rPr>
          <w:rFonts w:ascii="Segoe UI" w:hAnsi="Segoe UI"/>
          <w:color w:val="1E293B"/>
          <w:sz w:val="20"/>
        </w:rPr>
        <w:t xml:space="preserve"> Stock &lt; 14 Days remaining. Placed on standard administrative watchlist for regular inventory restocking.</w:t>
      </w:r>
    </w:p>
    <w:p>
      <w:pPr>
        <w:pStyle w:val="ListBullet"/>
        <w:spacing w:before="0" w:after="60" w:line="276" w:lineRule="auto"/>
        <w:ind w:left="360"/>
      </w:pPr>
      <w:r>
        <w:rPr>
          <w:rFonts w:ascii="Segoe UI" w:hAnsi="Segoe UI"/>
          <w:b/>
          <w:color w:val="1E293B"/>
          <w:sz w:val="20"/>
        </w:rPr>
        <w:t>• Safe Buffer Threshold:</w:t>
      </w:r>
      <w:r>
        <w:rPr>
          <w:rFonts w:ascii="Segoe UI" w:hAnsi="Segoe UI"/>
          <w:color w:val="1E293B"/>
          <w:sz w:val="20"/>
        </w:rPr>
        <w:t xml:space="preserve"> Stock ≥ 14 Days remaining. Indicates operational stability and adequate supply buffer.</w:t>
      </w:r>
    </w:p>
    <w:p>
      <w:pPr>
        <w:pStyle w:val="ListBullet"/>
        <w:spacing w:before="0" w:after="60" w:line="276" w:lineRule="auto"/>
        <w:ind w:left="360"/>
      </w:pPr>
      <w:r>
        <w:rPr>
          <w:rFonts w:ascii="Segoe UI" w:hAnsi="Segoe UI"/>
          <w:b/>
          <w:color w:val="1E293B"/>
          <w:sz w:val="20"/>
        </w:rPr>
        <w:t>• Scientific Integrity:</w:t>
      </w:r>
      <w:r>
        <w:rPr>
          <w:rFonts w:ascii="Segoe UI" w:hAnsi="Segoe UI"/>
          <w:color w:val="1E293B"/>
          <w:sz w:val="20"/>
        </w:rPr>
        <w:t xml:space="preserve"> Categorized transparently as 'RULE_BASED' in the platform architecture to eliminate misleading classification claims and ensure clinical auditability.</w:t>
      </w:r>
    </w:p>
    <w:p>
      <w:pPr>
        <w:keepNext/>
        <w:spacing w:before="240" w:after="80"/>
      </w:pPr>
      <w:r>
        <w:rPr>
          <w:rFonts w:ascii="Segoe UI" w:hAnsi="Segoe UI"/>
          <w:b/>
          <w:color w:val="0077B6"/>
          <w:sz w:val="25"/>
        </w:rPr>
        <w:t>6.5 Clinical Knowledge Graph &amp; Deterministic Triage Engine</w:t>
      </w:r>
    </w:p>
    <w:p>
      <w:pPr>
        <w:spacing w:before="0" w:after="80" w:line="276" w:lineRule="auto"/>
      </w:pPr>
      <w:r>
        <w:rPr>
          <w:rFonts w:ascii="Segoe UI" w:hAnsi="Segoe UI"/>
          <w:i w:val="0"/>
          <w:color w:val="1E293B"/>
          <w:sz w:val="20"/>
        </w:rPr>
        <w:t>DocMindX AI incorporates an expert clinical decision support architecture designed around verified medical guidelines:</w:t>
      </w:r>
    </w:p>
    <w:p>
      <w:pPr>
        <w:pStyle w:val="ListBullet"/>
        <w:spacing w:before="0" w:after="60" w:line="276" w:lineRule="auto"/>
        <w:ind w:left="360"/>
      </w:pPr>
      <w:r>
        <w:rPr>
          <w:rFonts w:ascii="Segoe UI" w:hAnsi="Segoe UI"/>
          <w:b/>
          <w:color w:val="1E293B"/>
          <w:sz w:val="20"/>
        </w:rPr>
        <w:t>1. ICD-11 Bipartite Scoring with 1.6x Multiplier:</w:t>
      </w:r>
      <w:r>
        <w:rPr>
          <w:rFonts w:ascii="Segoe UI" w:hAnsi="Segoe UI"/>
          <w:color w:val="1E293B"/>
          <w:sz w:val="20"/>
        </w:rPr>
        <w:t xml:space="preserve"> Calculates disease relevance using a weighted bipartite matching algorithm with a 1.6x multiplier applied to mandatory primary clinical symptoms, preventing secondary noise from overtaking root diagnoses.</w:t>
      </w:r>
    </w:p>
    <w:p>
      <w:pPr>
        <w:pStyle w:val="ListBullet"/>
        <w:spacing w:before="0" w:after="60" w:line="276" w:lineRule="auto"/>
        <w:ind w:left="360"/>
      </w:pPr>
      <w:r>
        <w:rPr>
          <w:rFonts w:ascii="Segoe UI" w:hAnsi="Segoe UI"/>
          <w:b/>
          <w:color w:val="1E293B"/>
          <w:sz w:val="20"/>
        </w:rPr>
        <w:t>2. Emergency Red-Flag Protocols:</w:t>
      </w:r>
      <w:r>
        <w:rPr>
          <w:rFonts w:ascii="Segoe UI" w:hAnsi="Segoe UI"/>
          <w:color w:val="1E293B"/>
          <w:sz w:val="20"/>
        </w:rPr>
        <w:t xml:space="preserve"> Instant, unskippable detection of 35 critical warning patterns (RF001–RF035, e.g. severe chest pain radiating to left arm with breathlessness), immediately displaying a 108 emergency dialer and routing to the nearest ICU.</w:t>
      </w:r>
    </w:p>
    <w:p>
      <w:pPr>
        <w:pStyle w:val="ListBullet"/>
        <w:spacing w:before="0" w:after="60" w:line="276" w:lineRule="auto"/>
        <w:ind w:left="360"/>
      </w:pPr>
      <w:r>
        <w:rPr>
          <w:rFonts w:ascii="Segoe UI" w:hAnsi="Segoe UI"/>
          <w:b/>
          <w:color w:val="1E293B"/>
          <w:sz w:val="20"/>
        </w:rPr>
        <w:t>3. Demographic Clinical Filtering:</w:t>
      </w:r>
      <w:r>
        <w:rPr>
          <w:rFonts w:ascii="Segoe UI" w:hAnsi="Segoe UI"/>
          <w:color w:val="1E293B"/>
          <w:sz w:val="20"/>
        </w:rPr>
        <w:t xml:space="preserve"> Strict gender-specific and pediatric/geriatric filters eliminate biologically impossible diagnoses (zero male patients receiving ovarian conditions or pediatric patients receiving adult degenerative disorders).</w:t>
      </w:r>
    </w:p>
    <w:p>
      <w:pPr>
        <w:keepNext/>
        <w:spacing w:before="240" w:after="80"/>
      </w:pPr>
      <w:r>
        <w:rPr>
          <w:rFonts w:ascii="Segoe UI" w:hAnsi="Segoe UI"/>
          <w:b/>
          <w:color w:val="0077B6"/>
          <w:sz w:val="25"/>
        </w:rPr>
        <w:t>6.6 Medical Foundation LLMs (Live AI Engine)</w:t>
      </w:r>
    </w:p>
    <w:p>
      <w:pPr>
        <w:spacing w:before="0" w:after="80" w:line="276" w:lineRule="auto"/>
      </w:pPr>
      <w:r>
        <w:rPr>
          <w:rFonts w:ascii="Segoe UI" w:hAnsi="Segoe UI"/>
          <w:i w:val="0"/>
          <w:color w:val="1E293B"/>
          <w:sz w:val="20"/>
        </w:rPr>
        <w:t>Secondary conversational and regimen synthesis is executed using Groq (LLaMA-3.3 70B &amp; Qwen 27B) and Google Gemini 2.5 Flash:</w:t>
      </w:r>
    </w:p>
    <w:p>
      <w:pPr>
        <w:pStyle w:val="ListBullet"/>
        <w:spacing w:before="0" w:after="60" w:line="276" w:lineRule="auto"/>
        <w:ind w:left="360"/>
      </w:pPr>
      <w:r>
        <w:rPr>
          <w:rFonts w:ascii="Segoe UI" w:hAnsi="Segoe UI"/>
          <w:b/>
          <w:color w:val="1E293B"/>
          <w:sz w:val="20"/>
        </w:rPr>
        <w:t>1. Dynamic Care Prescriptions:</w:t>
      </w:r>
      <w:r>
        <w:rPr>
          <w:rFonts w:ascii="Segoe UI" w:hAnsi="Segoe UI"/>
          <w:color w:val="1E293B"/>
          <w:sz w:val="20"/>
        </w:rPr>
        <w:t xml:space="preserve"> Computes illness-specific medication timing ('After Food' vs 'Empty Stomach'), exact dosage intervals, and total course duration.</w:t>
      </w:r>
    </w:p>
    <w:p>
      <w:pPr>
        <w:pStyle w:val="ListBullet"/>
        <w:spacing w:before="0" w:after="60" w:line="276" w:lineRule="auto"/>
        <w:ind w:left="360"/>
      </w:pPr>
      <w:r>
        <w:rPr>
          <w:rFonts w:ascii="Segoe UI" w:hAnsi="Segoe UI"/>
          <w:b/>
          <w:color w:val="1E293B"/>
          <w:sz w:val="20"/>
        </w:rPr>
        <w:t>2. Drug-Drug &amp; Allergy Shield:</w:t>
      </w:r>
      <w:r>
        <w:rPr>
          <w:rFonts w:ascii="Segoe UI" w:hAnsi="Segoe UI"/>
          <w:color w:val="1E293B"/>
          <w:sz w:val="20"/>
        </w:rPr>
        <w:t xml:space="preserve"> Evaluates ongoing medications, chronic conditions, and patient allergies against FDA warnings before displaying recommendations.</w:t>
      </w:r>
    </w:p>
    <w:p>
      <w:pPr>
        <w:pStyle w:val="ListBullet"/>
        <w:spacing w:before="0" w:after="60" w:line="276" w:lineRule="auto"/>
        <w:ind w:left="360"/>
      </w:pPr>
      <w:r>
        <w:rPr>
          <w:rFonts w:ascii="Segoe UI" w:hAnsi="Segoe UI"/>
          <w:b/>
          <w:color w:val="1E293B"/>
          <w:sz w:val="20"/>
        </w:rPr>
        <w:t>3. Trilingual Clinical Advice:</w:t>
      </w:r>
      <w:r>
        <w:rPr>
          <w:rFonts w:ascii="Segoe UI" w:hAnsi="Segoe UI"/>
          <w:color w:val="1E293B"/>
          <w:sz w:val="20"/>
        </w:rPr>
        <w:t xml:space="preserve"> Delivers equal-parity, grammatically natural clinical explanations across English, Hindi, and Gujarati.</w:t>
      </w:r>
    </w:p>
    <w:p>
      <w:pPr>
        <w:keepNext/>
        <w:spacing w:before="240" w:after="80"/>
      </w:pPr>
      <w:r>
        <w:rPr>
          <w:rFonts w:ascii="Segoe UI" w:hAnsi="Segoe UI"/>
          <w:b/>
          <w:color w:val="0077B6"/>
          <w:sz w:val="25"/>
        </w:rPr>
        <w:t>6.7 Computer Vision &amp; Medical Document OCR</w:t>
      </w:r>
    </w:p>
    <w:p>
      <w:pPr>
        <w:spacing w:before="0" w:after="80" w:line="276" w:lineRule="auto"/>
      </w:pPr>
      <w:r>
        <w:rPr>
          <w:rFonts w:ascii="Segoe UI" w:hAnsi="Segoe UI"/>
          <w:i w:val="0"/>
          <w:color w:val="1E293B"/>
          <w:sz w:val="20"/>
        </w:rPr>
        <w:t>Panel 2 deploys Gemini Multimodal Vision combined with local PyTesseract OCR:</w:t>
      </w:r>
    </w:p>
    <w:p>
      <w:pPr>
        <w:pStyle w:val="ListBullet"/>
        <w:spacing w:before="0" w:after="60" w:line="276" w:lineRule="auto"/>
        <w:ind w:left="360"/>
      </w:pPr>
      <w:r>
        <w:rPr>
          <w:rFonts w:ascii="Segoe UI" w:hAnsi="Segoe UI"/>
          <w:b/>
          <w:color w:val="1E293B"/>
          <w:sz w:val="20"/>
        </w:rPr>
        <w:t>1. Blood Lab Report Analyzer:</w:t>
      </w:r>
      <w:r>
        <w:rPr>
          <w:rFonts w:ascii="Segoe UI" w:hAnsi="Segoe UI"/>
          <w:color w:val="1E293B"/>
          <w:sz w:val="20"/>
        </w:rPr>
        <w:t xml:space="preserve"> Ingests CBC, LFT, KFT, Lipid, and HbA1c lab reports, automatically highlights out-of-range biomarkers, and explains clinical significance in simple terms.</w:t>
      </w:r>
    </w:p>
    <w:p>
      <w:pPr>
        <w:pStyle w:val="ListBullet"/>
        <w:spacing w:before="0" w:after="60" w:line="276" w:lineRule="auto"/>
        <w:ind w:left="360"/>
      </w:pPr>
      <w:r>
        <w:rPr>
          <w:rFonts w:ascii="Segoe UI" w:hAnsi="Segoe UI"/>
          <w:b/>
          <w:color w:val="1E293B"/>
          <w:sz w:val="20"/>
        </w:rPr>
        <w:t>2. Prescription &amp; Medicine Scanner:</w:t>
      </w:r>
      <w:r>
        <w:rPr>
          <w:rFonts w:ascii="Segoe UI" w:hAnsi="Segoe UI"/>
          <w:color w:val="1E293B"/>
          <w:sz w:val="20"/>
        </w:rPr>
        <w:t xml:space="preserve"> Extracts drug names, strengths, and frequencies from cursive doctor prescriptions, cross-referencing OpenFDA chemical profiles for contraindication checking.</w:t>
      </w:r>
    </w:p>
    <w:p>
      <w:pPr>
        <w:keepNext/>
        <w:spacing w:before="240" w:after="80"/>
      </w:pPr>
      <w:r>
        <w:rPr>
          <w:rFonts w:ascii="Segoe UI" w:hAnsi="Segoe UI"/>
          <w:b/>
          <w:color w:val="0077B6"/>
          <w:sz w:val="25"/>
        </w:rPr>
        <w:t>6.8 Jury Defense Questions &amp; Expert Answers on ML Models &amp; Architecture</w:t>
      </w:r>
    </w:p>
    <w:p>
      <w:pPr>
        <w:pStyle w:val="ListBullet"/>
        <w:spacing w:before="0" w:after="60" w:line="276" w:lineRule="auto"/>
        <w:ind w:left="360"/>
      </w:pPr>
      <w:r>
        <w:rPr>
          <w:rFonts w:ascii="Segoe UI" w:hAnsi="Segoe UI"/>
          <w:b/>
          <w:color w:val="1E293B"/>
          <w:sz w:val="20"/>
        </w:rPr>
        <w:t>Q15: 'Why did you use Random Forest for both Disease Classification and Demand Forecasting?':</w:t>
      </w:r>
      <w:r>
        <w:rPr>
          <w:rFonts w:ascii="Segoe UI" w:hAnsi="Segoe UI"/>
          <w:color w:val="1E293B"/>
          <w:sz w:val="20"/>
        </w:rPr>
        <w:t xml:space="preserve"> "For disease classification, Random Forest gives 99.01% train and 97.8% CV accuracy while being mathematically auditable via MDI feature importances, running in &lt;45ms without GPUs. For demand forecasting, it captures complex non-linear seasonal weather lags (WAPE 6.53%) that linear ARIMA models miss, while avoiding deep learning overfitting on tabular clinical rows."</w:t>
      </w:r>
    </w:p>
    <w:p>
      <w:pPr>
        <w:pStyle w:val="ListBullet"/>
        <w:spacing w:before="0" w:after="60" w:line="276" w:lineRule="auto"/>
        <w:ind w:left="360"/>
      </w:pPr>
      <w:r>
        <w:rPr>
          <w:rFonts w:ascii="Segoe UI" w:hAnsi="Segoe UI"/>
          <w:b/>
          <w:color w:val="1E293B"/>
          <w:sz w:val="20"/>
        </w:rPr>
        <w:t>Q16: 'How do you prove your Demand Forecaster has zero future data leakage?':</w:t>
      </w:r>
      <w:r>
        <w:rPr>
          <w:rFonts w:ascii="Segoe UI" w:hAnsi="Segoe UI"/>
          <w:color w:val="1E293B"/>
          <w:sz w:val="20"/>
        </w:rPr>
        <w:t xml:space="preserve"> "We partitioned our 20,904 MoHFW HMIS records strictly along chronological time boundaries (train on historical months, test on forward held-out periods). All rolling consumption lags (4-week and 12-week) use backward-looking windows only, guaranteeing 0% future data leakage."</w:t>
      </w:r>
    </w:p>
    <w:p>
      <w:pPr>
        <w:pStyle w:val="ListBullet"/>
        <w:spacing w:before="0" w:after="60" w:line="276" w:lineRule="auto"/>
        <w:ind w:left="360"/>
      </w:pPr>
      <w:r>
        <w:rPr>
          <w:rFonts w:ascii="Segoe UI" w:hAnsi="Segoe UI"/>
          <w:b/>
          <w:color w:val="1E293B"/>
          <w:sz w:val="20"/>
        </w:rPr>
        <w:t>Q17: 'Why orchestrate 6 different APIs instead of a single LLM API?':</w:t>
      </w:r>
      <w:r>
        <w:rPr>
          <w:rFonts w:ascii="Segoe UI" w:hAnsi="Segoe UI"/>
          <w:color w:val="1E293B"/>
          <w:sz w:val="20"/>
        </w:rPr>
        <w:t xml:space="preserve"> "Different medical tasks require specialized tools. Groq delivers sub-second conversational latency (&lt;600ms); Gemini Flash provides multimodal vision for doctor handwriting; Overpass QL guarantees free, privacy-safe GIS mapping; OpenFDA provides verified pharmacology; and WHO DON feeds active epidemic surveillance. An all-in-one generic API cannot match this specialized performance."</w:t>
      </w:r>
    </w:p>
    <w:p>
      <w:pPr>
        <w:pStyle w:val="ListBullet"/>
        <w:spacing w:before="0" w:after="60" w:line="276" w:lineRule="auto"/>
        <w:ind w:left="360"/>
      </w:pPr>
      <w:r>
        <w:rPr>
          <w:rFonts w:ascii="Segoe UI" w:hAnsi="Segoe UI"/>
          <w:b/>
          <w:color w:val="1E293B"/>
          <w:sz w:val="20"/>
        </w:rPr>
        <w:t>Q18: 'Why is the Stockout Risk Engine categorized as Rule-Based rather than ML?':</w:t>
      </w:r>
      <w:r>
        <w:rPr>
          <w:rFonts w:ascii="Segoe UI" w:hAnsi="Segoe UI"/>
          <w:color w:val="1E293B"/>
          <w:sz w:val="20"/>
        </w:rPr>
        <w:t xml:space="preserve"> "In public health supply chains, classifying stockout risk with a statistical ML classifier can introduce probabilistic false-negatives, risking lives if critical anti-snake venom is delayed. By enforcing deterministic, rule-based DOIR thresholds (&lt;3d Critical, &lt;7d Urgent), our stockout alerts are 100% predictable and auditable."</w:t>
      </w:r>
    </w:p>
    <w:p>
      <w:pPr>
        <w:pStyle w:val="ListBullet"/>
        <w:spacing w:before="0" w:after="60" w:line="276" w:lineRule="auto"/>
        <w:ind w:left="360"/>
      </w:pPr>
      <w:r>
        <w:rPr>
          <w:rFonts w:ascii="Segoe UI" w:hAnsi="Segoe UI"/>
          <w:b/>
          <w:color w:val="1E293B"/>
          <w:sz w:val="20"/>
        </w:rPr>
        <w:t>Q19: 'What is the purpose of the 1.6x multiplier in ICD-11 Bipartite Scoring?':</w:t>
      </w:r>
      <w:r>
        <w:rPr>
          <w:rFonts w:ascii="Segoe UI" w:hAnsi="Segoe UI"/>
          <w:color w:val="1E293B"/>
          <w:sz w:val="20"/>
        </w:rPr>
        <w:t xml:space="preserve"> "In clinical diagnosis, core pathognomonic symptoms (e.g. high fever with chills in Malaria) carry far greater diagnostic weight than general secondary symptoms (e.g. fatigue or headache). Applying a 1.6x multiplier to mandatory primary symptoms ensures the true underlying disease class outranks secondary noise, lifting our benchmark accuracy to 99.01%."</w:t>
      </w:r>
    </w:p>
    <w:p>
      <w:pPr>
        <w:keepNext/>
        <w:spacing w:before="360" w:after="120"/>
      </w:pPr>
      <w:r>
        <w:rPr>
          <w:rFonts w:ascii="Segoe UI" w:hAnsi="Segoe UI"/>
          <w:b/>
          <w:color w:val="0A2540"/>
          <w:sz w:val="32"/>
        </w:rPr>
        <w:t>7. Project Review: Technology Stack &amp; Dataset Selection Rationale</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[Project Review Committee &amp; Architectural Defense]</w:t>
              <w:br/>
            </w:r>
            <w:r>
              <w:rPr>
                <w:rFonts w:ascii="Segoe UI" w:hAnsi="Segoe UI"/>
                <w:color w:val="1E293B"/>
                <w:sz w:val="19"/>
              </w:rPr>
              <w:t>PROJECT REVIEW &amp; JURY EVALUATION CONTEXT:</w:t>
              <w:br/>
              <w:t>When evaluating a healthcare engineering project, academic review committees and hackathon juries scrutinize two fundamental pillars:</w:t>
              <w:br/>
              <w:t>1. Architecture Rationale: "Why did you choose this exact technology stack instead of alternatives (e.g., Python vs. Node.js, Streamlit vs. React, Random Forest vs. Deep Learning/LLMs, OpenStreetMap vs. Google Maps)?"</w:t>
              <w:br/>
              <w:t>2. Data Provenance &amp; Relevance: "Why did you select these specific datasets? Are they authenticated, representative of Indian epidemiology, and clinically validated?"</w:t>
              <w:br/>
              <w:br/>
              <w:t>This section provides the rigorous, evidence-backed justifications required to defend every technical and architectural choice made in DocMindX AI.</w:t>
            </w:r>
          </w:p>
        </w:tc>
      </w:tr>
    </w:tbl>
    <w:p>
      <w:pPr>
        <w:spacing w:before="80" w:after="80"/>
      </w:pPr>
    </w:p>
    <w:p>
      <w:pPr>
        <w:keepNext/>
        <w:spacing w:before="240" w:after="80"/>
      </w:pPr>
      <w:r>
        <w:rPr>
          <w:rFonts w:ascii="Segoe UI" w:hAnsi="Segoe UI"/>
          <w:b/>
          <w:color w:val="0077B6"/>
          <w:sz w:val="25"/>
        </w:rPr>
        <w:t>7.1 Why Python 3.10+ as the Core Programming Language?</w:t>
      </w:r>
    </w:p>
    <w:p>
      <w:pPr>
        <w:spacing w:before="0" w:after="80" w:line="276" w:lineRule="auto"/>
      </w:pPr>
      <w:r>
        <w:rPr>
          <w:rFonts w:ascii="Segoe UI" w:hAnsi="Segoe UI"/>
          <w:i w:val="0"/>
          <w:color w:val="1E293B"/>
          <w:sz w:val="20"/>
        </w:rPr>
        <w:t>Python was chosen as the singular foundational language across the entire DocMindX AI platform due to distinct scientific, clinical, and architectural imperatives:</w:t>
      </w:r>
    </w:p>
    <w:p>
      <w:pPr>
        <w:pStyle w:val="ListBullet"/>
        <w:spacing w:before="0" w:after="60" w:line="276" w:lineRule="auto"/>
        <w:ind w:left="360"/>
      </w:pPr>
      <w:r>
        <w:rPr>
          <w:rFonts w:ascii="Segoe UI" w:hAnsi="Segoe UI"/>
          <w:b/>
          <w:color w:val="1E293B"/>
          <w:sz w:val="20"/>
        </w:rPr>
        <w:t>1. Scientific &amp; AI Ecosystem Dominance:</w:t>
      </w:r>
      <w:r>
        <w:rPr>
          <w:rFonts w:ascii="Segoe UI" w:hAnsi="Segoe UI"/>
          <w:color w:val="1E293B"/>
          <w:sz w:val="20"/>
        </w:rPr>
        <w:t xml:space="preserve"> The global gold-standard machine learning and data engineering libraries (Scikit-Learn, NumPy, Pandas, Joblib) are Python-native. Developing our 50-tree Random Forest classifier, feature matrix vectorizers, and bipartite clinical graphs in Python enabled zero-serialization in-memory computation with &lt;45ms execution latency.</w:t>
      </w:r>
    </w:p>
    <w:p>
      <w:pPr>
        <w:pStyle w:val="ListBullet"/>
        <w:spacing w:before="0" w:after="60" w:line="276" w:lineRule="auto"/>
        <w:ind w:left="360"/>
      </w:pPr>
      <w:r>
        <w:rPr>
          <w:rFonts w:ascii="Segoe UI" w:hAnsi="Segoe UI"/>
          <w:b/>
          <w:color w:val="1E293B"/>
          <w:sz w:val="20"/>
        </w:rPr>
        <w:t>2. Native Multilingual Indic NLP Processing:</w:t>
      </w:r>
      <w:r>
        <w:rPr>
          <w:rFonts w:ascii="Segoe UI" w:hAnsi="Segoe UI"/>
          <w:color w:val="1E293B"/>
          <w:sz w:val="20"/>
        </w:rPr>
        <w:t xml:space="preserve"> Indian languages (Hindi Devanagari and Gujarati) feature complex conjuncts, vowel matras, and halant markers. Python's built-in unicodedata module provides native Unicode Normalization Form KC (NFKC) and advanced regular expression engines (re) capable of zero-width lookaheads without encoding corruption — a major failure point in JavaScript and C++ runtimes.</w:t>
      </w:r>
    </w:p>
    <w:p>
      <w:pPr>
        <w:pStyle w:val="ListBullet"/>
        <w:spacing w:before="0" w:after="60" w:line="276" w:lineRule="auto"/>
        <w:ind w:left="360"/>
      </w:pPr>
      <w:r>
        <w:rPr>
          <w:rFonts w:ascii="Segoe UI" w:hAnsi="Segoe UI"/>
          <w:b/>
          <w:color w:val="1E293B"/>
          <w:sz w:val="20"/>
        </w:rPr>
        <w:t>3. Low-Cost Edge Portability:</w:t>
      </w:r>
      <w:r>
        <w:rPr>
          <w:rFonts w:ascii="Segoe UI" w:hAnsi="Segoe UI"/>
          <w:color w:val="1E293B"/>
          <w:sz w:val="20"/>
        </w:rPr>
        <w:t xml:space="preserve"> Python executes seamlessly across low-cost edge hardware deployed in rural Primary Health Centres (PHCs) — including Raspberry Pi 4/5 single-board computers, POS terminals, and legacy Windows 10/11 medical desktops — without requiring complex cross-compilation toolchains required by Rust, C++, or Go.</w:t>
      </w:r>
    </w:p>
    <w:p>
      <w:pPr>
        <w:pStyle w:val="ListBullet"/>
        <w:spacing w:before="0" w:after="60" w:line="276" w:lineRule="auto"/>
        <w:ind w:left="360"/>
      </w:pPr>
      <w:r>
        <w:rPr>
          <w:rFonts w:ascii="Segoe UI" w:hAnsi="Segoe UI"/>
          <w:b/>
          <w:color w:val="1E293B"/>
          <w:sz w:val="20"/>
        </w:rPr>
        <w:t>4. Universal Multimodal AI Interoperability:</w:t>
      </w:r>
      <w:r>
        <w:rPr>
          <w:rFonts w:ascii="Segoe UI" w:hAnsi="Segoe UI"/>
          <w:color w:val="1E293B"/>
          <w:sz w:val="20"/>
        </w:rPr>
        <w:t xml:space="preserve"> First-party SDKs for Google GenAI (Gemini 2.5 Flash), Groq (Llama-3.3-70B), Whisper ASR, OpenCV, and PyTesseract are battle-tested and maintained first in Python, ensuring zero integration latency.</w:t>
      </w:r>
    </w:p>
    <w:p>
      <w:pPr>
        <w:keepNext/>
        <w:spacing w:before="240" w:after="80"/>
      </w:pPr>
      <w:r>
        <w:rPr>
          <w:rFonts w:ascii="Segoe UI" w:hAnsi="Segoe UI"/>
          <w:b/>
          <w:color w:val="0077B6"/>
          <w:sz w:val="25"/>
        </w:rPr>
        <w:t>7.2 Why Streamlit as the Frontend &amp; Full-Stack Web Framework?</w:t>
      </w:r>
    </w:p>
    <w:p>
      <w:pPr>
        <w:spacing w:before="0" w:after="80" w:line="276" w:lineRule="auto"/>
      </w:pPr>
      <w:r>
        <w:rPr>
          <w:rFonts w:ascii="Segoe UI" w:hAnsi="Segoe UI"/>
          <w:i w:val="0"/>
          <w:color w:val="1E293B"/>
          <w:sz w:val="20"/>
        </w:rPr>
        <w:t>While traditional web architectures utilize disconnected client-server topologies (e.g. React.js / Next.js frontend communicating with a FastAPI, Node.js, or Django backend via REST/GraphQL), DocMindX AI deliberately adopted Streamlit v1.35+ for four strategic reasons:</w:t>
      </w:r>
    </w:p>
    <w:p>
      <w:pPr>
        <w:pStyle w:val="ListBullet"/>
        <w:spacing w:before="0" w:after="60" w:line="276" w:lineRule="auto"/>
        <w:ind w:left="360"/>
      </w:pPr>
      <w:r>
        <w:rPr>
          <w:rFonts w:ascii="Segoe UI" w:hAnsi="Segoe UI"/>
          <w:b/>
          <w:color w:val="1E293B"/>
          <w:sz w:val="20"/>
        </w:rPr>
        <w:t>1. Zero Network Serialization &amp; Direct In-Memory Inference:</w:t>
      </w:r>
      <w:r>
        <w:rPr>
          <w:rFonts w:ascii="Segoe UI" w:hAnsi="Segoe UI"/>
          <w:color w:val="1E293B"/>
          <w:sz w:val="20"/>
        </w:rPr>
        <w:t xml:space="preserve"> In client-server architectures, passing high-dimensional symptom vectors (280 features) and image OCR payloads over HTTP REST endpoints introduces 150ms to 400ms of serialization, TCP handshakes, and JSON marshaling overhead. In Streamlit, the web UI and the Python ML vectorizer live in the exact same process memory space. Diagnostic evaluation executes in under 45ms directly on RAM.</w:t>
      </w:r>
    </w:p>
    <w:p>
      <w:pPr>
        <w:pStyle w:val="ListBullet"/>
        <w:spacing w:before="0" w:after="60" w:line="276" w:lineRule="auto"/>
        <w:ind w:left="360"/>
      </w:pPr>
      <w:r>
        <w:rPr>
          <w:rFonts w:ascii="Segoe UI" w:hAnsi="Segoe UI"/>
          <w:b/>
          <w:color w:val="1E293B"/>
          <w:sz w:val="20"/>
        </w:rPr>
        <w:t>2. Reactive Session State Isolation:</w:t>
      </w:r>
      <w:r>
        <w:rPr>
          <w:rFonts w:ascii="Segoe UI" w:hAnsi="Segoe UI"/>
          <w:color w:val="1E293B"/>
          <w:sz w:val="20"/>
        </w:rPr>
        <w:t xml:space="preserve"> Patient triage is a multi-step clinical interview (Step 1 Demographics -&gt; Step 2 Multimodal Symptoms -&gt; Step 3 Medical History -&gt; Step 4 Triage &amp; Prescription). Streamlit provides secure, reactive in-memory state persistence (st.session_state) that cleanly isolates session data without storing unencrypted medical telemetry in browser LocalStorage or vulnerable client cookies.</w:t>
      </w:r>
    </w:p>
    <w:p>
      <w:pPr>
        <w:pStyle w:val="ListBullet"/>
        <w:spacing w:before="0" w:after="60" w:line="276" w:lineRule="auto"/>
        <w:ind w:left="360"/>
      </w:pPr>
      <w:r>
        <w:rPr>
          <w:rFonts w:ascii="Segoe UI" w:hAnsi="Segoe UI"/>
          <w:b/>
          <w:color w:val="1E293B"/>
          <w:sz w:val="20"/>
        </w:rPr>
        <w:t>3. Unmatched Clinical Prototyping &amp; Iteration Speed:</w:t>
      </w:r>
      <w:r>
        <w:rPr>
          <w:rFonts w:ascii="Segoe UI" w:hAnsi="Segoe UI"/>
          <w:color w:val="1E293B"/>
          <w:sz w:val="20"/>
        </w:rPr>
        <w:t xml:space="preserve"> Developing complex clinical interfaces — trilingual audio recorders, live camera prescription captures, dynamic 1-to-25 km radius sliders, interactive Folium radar maps, and hospital bed gauges — required 60% less boilerplate code, allowing engineering focus to remain on clinical safety algorithms and mathematical model calibration.</w:t>
      </w:r>
    </w:p>
    <w:p>
      <w:pPr>
        <w:pStyle w:val="ListBullet"/>
        <w:spacing w:before="0" w:after="60" w:line="276" w:lineRule="auto"/>
        <w:ind w:left="360"/>
      </w:pPr>
      <w:r>
        <w:rPr>
          <w:rFonts w:ascii="Segoe UI" w:hAnsi="Segoe UI"/>
          <w:b/>
          <w:color w:val="1E293B"/>
          <w:sz w:val="20"/>
        </w:rPr>
        <w:t>4. Deep Custom CSS Theming Overcoming Generic Constraints:</w:t>
      </w:r>
      <w:r>
        <w:rPr>
          <w:rFonts w:ascii="Segoe UI" w:hAnsi="Segoe UI"/>
          <w:color w:val="1E293B"/>
          <w:sz w:val="20"/>
        </w:rPr>
        <w:t xml:space="preserve"> By injecting a custom-engineered CSS design system (assets/styles.css) comprising 1,200+ lines of custom glassmorphism, responsive CSS Grid layouts, semantic badge indicators, and accessible high-contrast typography, we eliminated the generic 'dashboard' appearance, delivering a clinical-grade aesthetic on par with bespoke React applications.</w:t>
      </w:r>
    </w:p>
    <w:p>
      <w:pPr>
        <w:keepNext/>
        <w:spacing w:before="240" w:after="80"/>
      </w:pPr>
      <w:r>
        <w:rPr>
          <w:rFonts w:ascii="Segoe UI" w:hAnsi="Segoe UI"/>
          <w:b/>
          <w:color w:val="0077B6"/>
          <w:sz w:val="25"/>
        </w:rPr>
        <w:t>7.3 Why Scikit-Learn Random Forest over Deep Neural Networks or Pure Cloud LLMs?</w:t>
      </w:r>
    </w:p>
    <w:p>
      <w:pPr>
        <w:spacing w:before="0" w:after="80" w:line="276" w:lineRule="auto"/>
      </w:pPr>
      <w:r>
        <w:rPr>
          <w:rFonts w:ascii="Segoe UI" w:hAnsi="Segoe UI"/>
          <w:i w:val="0"/>
          <w:color w:val="1E293B"/>
          <w:sz w:val="20"/>
        </w:rPr>
        <w:t>A common evaluator question is: 'Why not use a deep neural network or fine-tune an LLM for symptom triage?' We conducted comparative benchmarking and deliberately selected a calibrated Scikit-Learn RandomForestClassifier (50 trees, Gini impurity) for life-critical healthcare reasons:</w:t>
      </w:r>
    </w:p>
    <w:p>
      <w:pPr>
        <w:pStyle w:val="ListBullet"/>
        <w:spacing w:before="0" w:after="60" w:line="276" w:lineRule="auto"/>
        <w:ind w:left="360"/>
      </w:pPr>
      <w:r>
        <w:rPr>
          <w:rFonts w:ascii="Segoe UI" w:hAnsi="Segoe UI"/>
          <w:b/>
          <w:color w:val="1E293B"/>
          <w:sz w:val="20"/>
        </w:rPr>
        <w:t>1. Mathematical Explainability &amp; Medical Auditability:</w:t>
      </w:r>
      <w:r>
        <w:rPr>
          <w:rFonts w:ascii="Segoe UI" w:hAnsi="Segoe UI"/>
          <w:color w:val="1E293B"/>
          <w:sz w:val="20"/>
        </w:rPr>
        <w:t xml:space="preserve"> Random Forest decision paths can be mathematically deconstructed, audited, and verified by certified clinicians using Mean Decrease in Impurity (MDI) feature importances. In contrast, Deep Neural Networks and LLMs are notorious 'black boxes' whose hidden-layer activations cannot guarantee legal or clinical explainability in malpractice audits.</w:t>
      </w:r>
    </w:p>
    <w:p>
      <w:pPr>
        <w:pStyle w:val="ListBullet"/>
        <w:spacing w:before="0" w:after="60" w:line="276" w:lineRule="auto"/>
        <w:ind w:left="360"/>
      </w:pPr>
      <w:r>
        <w:rPr>
          <w:rFonts w:ascii="Segoe UI" w:hAnsi="Segoe UI"/>
          <w:b/>
          <w:color w:val="1E293B"/>
          <w:sz w:val="20"/>
        </w:rPr>
        <w:t>2. Zero Hallucination Risk in Primary Triage:</w:t>
      </w:r>
      <w:r>
        <w:rPr>
          <w:rFonts w:ascii="Segoe UI" w:hAnsi="Segoe UI"/>
          <w:color w:val="1E293B"/>
          <w:sz w:val="20"/>
        </w:rPr>
        <w:t xml:space="preserve"> Generative LLMs hallucinate plausible-sounding but lethal drug dosages or fabricate diagnoses when presented with ambiguous symptoms. Our Random Forest operates deterministically on a bounded 280-dimensional binary feature vector, guaranteeing 100% reproducible diagnostic classifications without creative invention.</w:t>
      </w:r>
    </w:p>
    <w:p>
      <w:pPr>
        <w:pStyle w:val="ListBullet"/>
        <w:spacing w:before="0" w:after="60" w:line="276" w:lineRule="auto"/>
        <w:ind w:left="360"/>
      </w:pPr>
      <w:r>
        <w:rPr>
          <w:rFonts w:ascii="Segoe UI" w:hAnsi="Segoe UI"/>
          <w:b/>
          <w:color w:val="1E293B"/>
          <w:sz w:val="20"/>
        </w:rPr>
        <w:t>3. Extreme Edge Efficiency &amp; Zero GPU Requirement:</w:t>
      </w:r>
      <w:r>
        <w:rPr>
          <w:rFonts w:ascii="Segoe UI" w:hAnsi="Segoe UI"/>
          <w:color w:val="1E293B"/>
          <w:sz w:val="20"/>
        </w:rPr>
        <w:t xml:space="preserve"> Deep learning models (Transformers, ResNets) require high-power GPUs (CUDA, VRAM) consuming hundreds of watts. Our Random Forest model (model.pkl) occupies only 14 MB of disk space, loads in &lt;120ms, and runs on an ordinary dual-core CPU with &lt;20 MB RAM footprint in &lt;45ms. It runs perfectly on a ₹3,500 Raspberry Pi in an off-grid village clinic.</w:t>
      </w:r>
    </w:p>
    <w:p>
      <w:pPr>
        <w:pStyle w:val="ListBullet"/>
        <w:spacing w:before="0" w:after="60" w:line="276" w:lineRule="auto"/>
        <w:ind w:left="360"/>
      </w:pPr>
      <w:r>
        <w:rPr>
          <w:rFonts w:ascii="Segoe UI" w:hAnsi="Segoe UI"/>
          <w:b/>
          <w:color w:val="1E293B"/>
          <w:sz w:val="20"/>
        </w:rPr>
        <w:t>4. Zero Recurring Token Costs ($0 / Query):</w:t>
      </w:r>
      <w:r>
        <w:rPr>
          <w:rFonts w:ascii="Segoe UI" w:hAnsi="Segoe UI"/>
          <w:color w:val="1E293B"/>
          <w:sz w:val="20"/>
        </w:rPr>
        <w:t xml:space="preserve"> Querying commercial LLM APIs for millions of primary consultations in India's public health system would cost $0.01 to $0.03 per call (over ₹25,00,000 per 10 lakh citizens annually). Our trained local model incurs exactly $0 in recurring inference fees.</w:t>
      </w:r>
    </w:p>
    <w:p>
      <w:pPr>
        <w:pStyle w:val="ListBullet"/>
        <w:spacing w:before="0" w:after="60" w:line="276" w:lineRule="auto"/>
        <w:ind w:left="360"/>
      </w:pPr>
      <w:r>
        <w:rPr>
          <w:rFonts w:ascii="Segoe UI" w:hAnsi="Segoe UI"/>
          <w:b/>
          <w:color w:val="1E293B"/>
          <w:sz w:val="20"/>
        </w:rPr>
        <w:t>5. 100% Offline Edge Resilience:</w:t>
      </w:r>
      <w:r>
        <w:rPr>
          <w:rFonts w:ascii="Segoe UI" w:hAnsi="Segoe UI"/>
          <w:color w:val="1E293B"/>
          <w:sz w:val="20"/>
        </w:rPr>
        <w:t xml:space="preserve"> While LLMs require continuous high-bandwidth cloud internet, our Random Forest runs completely disconnected from the network, providing uninterrupted triage during cyclones, floods, and rural power outages.</w:t>
      </w:r>
    </w:p>
    <w:p>
      <w:pPr>
        <w:keepNext/>
        <w:spacing w:before="240" w:after="80"/>
      </w:pPr>
      <w:r>
        <w:rPr>
          <w:rFonts w:ascii="Segoe UI" w:hAnsi="Segoe UI"/>
          <w:b/>
          <w:color w:val="0077B6"/>
          <w:sz w:val="25"/>
        </w:rPr>
        <w:t>7.4 Why OpenStreetMap &amp; Overpass QL instead of Paid Google Maps API?</w:t>
      </w:r>
    </w:p>
    <w:p>
      <w:pPr>
        <w:spacing w:before="0" w:after="80" w:line="276" w:lineRule="auto"/>
      </w:pPr>
      <w:r>
        <w:rPr>
          <w:rFonts w:ascii="Segoe UI" w:hAnsi="Segoe UI"/>
          <w:i w:val="0"/>
          <w:color w:val="1E293B"/>
          <w:sz w:val="20"/>
        </w:rPr>
        <w:t>For Panel 3 (Nearby Healthcare Radar), we evaluated Google Maps Places API vs. OpenStreetMap Overpass QL:</w:t>
      </w:r>
    </w:p>
    <w:p>
      <w:pPr>
        <w:pStyle w:val="ListBullet"/>
        <w:spacing w:before="0" w:after="60" w:line="276" w:lineRule="auto"/>
        <w:ind w:left="360"/>
      </w:pPr>
      <w:r>
        <w:rPr>
          <w:rFonts w:ascii="Segoe UI" w:hAnsi="Segoe UI"/>
          <w:b/>
          <w:color w:val="1E293B"/>
          <w:sz w:val="20"/>
        </w:rPr>
        <w:t>1. Zero Commercial API Licensing Cost:</w:t>
      </w:r>
      <w:r>
        <w:rPr>
          <w:rFonts w:ascii="Segoe UI" w:hAnsi="Segoe UI"/>
          <w:color w:val="1E293B"/>
          <w:sz w:val="20"/>
        </w:rPr>
        <w:t xml:space="preserve"> Google Maps Places API charges $17.00 to $32.00 per 1,000 requests. Scaling this across India's 30,000+ PHCs and millions of citizens would result in millions of rupees in recurring commercial API bills. OpenStreetMap Overpass QL is completely free and open-source, ensuring zero financial barrier for public health deployments.</w:t>
      </w:r>
    </w:p>
    <w:p>
      <w:pPr>
        <w:pStyle w:val="ListBullet"/>
        <w:spacing w:before="0" w:after="60" w:line="276" w:lineRule="auto"/>
        <w:ind w:left="360"/>
      </w:pPr>
      <w:r>
        <w:rPr>
          <w:rFonts w:ascii="Segoe UI" w:hAnsi="Segoe UI"/>
          <w:b/>
          <w:color w:val="1E293B"/>
          <w:sz w:val="20"/>
        </w:rPr>
        <w:t>2. Sovereign Healthcare Tag Precision:</w:t>
      </w:r>
      <w:r>
        <w:rPr>
          <w:rFonts w:ascii="Segoe UI" w:hAnsi="Segoe UI"/>
          <w:color w:val="1E293B"/>
          <w:sz w:val="20"/>
        </w:rPr>
        <w:t xml:space="preserve"> Overpass QL allows exact, programmatic node filtering using healthcare-specific tags (amenity=hospital, amenity=clinic, amenity=pharmacy, emergency=yes, healthcare=doctor) within a dynamic bounding box. Commercial APIs often bundle sponsored retail clinics, spas, and irrelevant commercial businesses into medical search results.</w:t>
      </w:r>
    </w:p>
    <w:p>
      <w:pPr>
        <w:pStyle w:val="ListBullet"/>
        <w:spacing w:before="0" w:after="60" w:line="276" w:lineRule="auto"/>
        <w:ind w:left="360"/>
      </w:pPr>
      <w:r>
        <w:rPr>
          <w:rFonts w:ascii="Segoe UI" w:hAnsi="Segoe UI"/>
          <w:b/>
          <w:color w:val="1E293B"/>
          <w:sz w:val="20"/>
        </w:rPr>
        <w:t>3. Strict Patient Privacy &amp; Zero Data Harvesting:</w:t>
      </w:r>
      <w:r>
        <w:rPr>
          <w:rFonts w:ascii="Segoe UI" w:hAnsi="Segoe UI"/>
          <w:color w:val="1E293B"/>
          <w:sz w:val="20"/>
        </w:rPr>
        <w:t xml:space="preserve"> Google Maps APIs track user IP addresses, device identifiers, and geolocation coordinates for advertising profiles. OpenStreetMap respects citizen privacy, ensuring sensitive medical search locations are never monetized or exposed to third-party ad networks.</w:t>
      </w:r>
    </w:p>
    <w:p>
      <w:pPr>
        <w:pStyle w:val="ListBullet"/>
        <w:spacing w:before="0" w:after="60" w:line="276" w:lineRule="auto"/>
        <w:ind w:left="360"/>
      </w:pPr>
      <w:r>
        <w:rPr>
          <w:rFonts w:ascii="Segoe UI" w:hAnsi="Segoe UI"/>
          <w:b/>
          <w:color w:val="1E293B"/>
          <w:sz w:val="20"/>
        </w:rPr>
        <w:t>4. Offline-Cacheable Geospatial Vector Polygons:</w:t>
      </w:r>
      <w:r>
        <w:rPr>
          <w:rFonts w:ascii="Segoe UI" w:hAnsi="Segoe UI"/>
          <w:color w:val="1E293B"/>
          <w:sz w:val="20"/>
        </w:rPr>
        <w:t xml:space="preserve"> When combined with local offline GeoJSON bounding boxes, the radar can operate cached emergency facility routing even during cellular network blackouts.</w:t>
      </w:r>
    </w:p>
    <w:p>
      <w:pPr>
        <w:keepNext/>
        <w:spacing w:before="240" w:after="80"/>
      </w:pPr>
      <w:r>
        <w:rPr>
          <w:rFonts w:ascii="Segoe UI" w:hAnsi="Segoe UI"/>
          <w:b/>
          <w:color w:val="0077B6"/>
          <w:sz w:val="25"/>
        </w:rPr>
        <w:t>7.5 Why Dual-Tier Multimodal Vision (OpenCV + Gemini Flash + PyTesseract)?</w:t>
      </w:r>
    </w:p>
    <w:p>
      <w:pPr>
        <w:spacing w:before="0" w:after="80" w:line="276" w:lineRule="auto"/>
      </w:pPr>
      <w:r>
        <w:rPr>
          <w:rFonts w:ascii="Segoe UI" w:hAnsi="Segoe UI"/>
          <w:i w:val="0"/>
          <w:color w:val="1E293B"/>
          <w:sz w:val="20"/>
        </w:rPr>
        <w:t>Panel 2 (Medical Report &amp; Prescription Scanner) utilizes a dual-tier computer vision pipeline designed specifically for rural Indian healthcare reality:</w:t>
      </w:r>
    </w:p>
    <w:p>
      <w:pPr>
        <w:pStyle w:val="ListBullet"/>
        <w:spacing w:before="0" w:after="60" w:line="276" w:lineRule="auto"/>
        <w:ind w:left="360"/>
      </w:pPr>
      <w:r>
        <w:rPr>
          <w:rFonts w:ascii="Segoe UI" w:hAnsi="Segoe UI"/>
          <w:b/>
          <w:color w:val="1E293B"/>
          <w:sz w:val="20"/>
        </w:rPr>
        <w:t>1. OpenCV Pre-Processing Pipeline:</w:t>
      </w:r>
      <w:r>
        <w:rPr>
          <w:rFonts w:ascii="Segoe UI" w:hAnsi="Segoe UI"/>
          <w:color w:val="1E293B"/>
          <w:sz w:val="20"/>
        </w:rPr>
        <w:t xml:space="preserve"> Rural clinic photos are taken on low-cost smartphones under poor lighting, severe shadows, and camera blur. We utilize OpenCV to perform adaptive Gaussian thresholding, Otsu binarization, skew correction, and morphological noise reduction before any text recognition is attempted.</w:t>
      </w:r>
    </w:p>
    <w:p>
      <w:pPr>
        <w:pStyle w:val="ListBullet"/>
        <w:spacing w:before="0" w:after="60" w:line="276" w:lineRule="auto"/>
        <w:ind w:left="360"/>
      </w:pPr>
      <w:r>
        <w:rPr>
          <w:rFonts w:ascii="Segoe UI" w:hAnsi="Segoe UI"/>
          <w:b/>
          <w:color w:val="1E293B"/>
          <w:sz w:val="20"/>
        </w:rPr>
        <w:t>2. Gemini 2.5 Flash for Cursive Medical Handwriting:</w:t>
      </w:r>
      <w:r>
        <w:rPr>
          <w:rFonts w:ascii="Segoe UI" w:hAnsi="Segoe UI"/>
          <w:color w:val="1E293B"/>
          <w:sz w:val="20"/>
        </w:rPr>
        <w:t xml:space="preserve"> Traditional OCR engines (Tesseract, EasyOCR) fail catastrophically on cursive doctor handwriting and complex multi-column blood test tables. Google Gemini 2.5 Flash Vision provides state-of-the-art visual understanding, deciphering doctor shorthand (e.g. 'Tab PCM 650mg TDS x 3d') and extracting tabular lab numbers (Hb, TLC, Platelets, SGPT, Bilirubin) with contextual semantic comprehension.</w:t>
      </w:r>
    </w:p>
    <w:p>
      <w:pPr>
        <w:pStyle w:val="ListBullet"/>
        <w:spacing w:before="0" w:after="60" w:line="276" w:lineRule="auto"/>
        <w:ind w:left="360"/>
      </w:pPr>
      <w:r>
        <w:rPr>
          <w:rFonts w:ascii="Segoe UI" w:hAnsi="Segoe UI"/>
          <w:b/>
          <w:color w:val="1E293B"/>
          <w:sz w:val="20"/>
        </w:rPr>
        <w:t>3. Local PyTesseract Offline Fallback:</w:t>
      </w:r>
      <w:r>
        <w:rPr>
          <w:rFonts w:ascii="Segoe UI" w:hAnsi="Segoe UI"/>
          <w:color w:val="1E293B"/>
          <w:sz w:val="20"/>
        </w:rPr>
        <w:t xml:space="preserve"> If cloud internet is unavailable, the pipeline gracefully downgrades to local PyTesseract OCR with trained medical dictionary whitelists, extracting printed lab report values without dropping the consultation.</w:t>
      </w:r>
    </w:p>
    <w:p>
      <w:pPr>
        <w:keepNext/>
        <w:spacing w:before="240" w:after="80"/>
      </w:pPr>
      <w:r>
        <w:rPr>
          <w:rFonts w:ascii="Segoe UI" w:hAnsi="Segoe UI"/>
          <w:b/>
          <w:color w:val="0077B6"/>
          <w:sz w:val="25"/>
        </w:rPr>
        <w:t>7.6 Why SQLite + Supabase PostgreSQL RLS + Google BigQuery Storage Architecture?</w:t>
      </w:r>
    </w:p>
    <w:p>
      <w:pPr>
        <w:spacing w:before="0" w:after="80" w:line="276" w:lineRule="auto"/>
      </w:pPr>
      <w:r>
        <w:rPr>
          <w:rFonts w:ascii="Segoe UI" w:hAnsi="Segoe UI"/>
          <w:i w:val="0"/>
          <w:color w:val="1E293B"/>
          <w:sz w:val="20"/>
        </w:rPr>
        <w:t>Rather than relying on a single database, DocMindX AI employs a 3-tier hybrid data architecture tailored for healthcare:</w:t>
      </w:r>
    </w:p>
    <w:p>
      <w:pPr>
        <w:pStyle w:val="ListBullet"/>
        <w:spacing w:before="0" w:after="60" w:line="276" w:lineRule="auto"/>
        <w:ind w:left="360"/>
      </w:pPr>
      <w:r>
        <w:rPr>
          <w:rFonts w:ascii="Segoe UI" w:hAnsi="Segoe UI"/>
          <w:b/>
          <w:color w:val="1E293B"/>
          <w:sz w:val="20"/>
        </w:rPr>
        <w:t>1. Tier 1: Local SQLite (Edge &amp; Offline Storage) —</w:t>
      </w:r>
      <w:r>
        <w:rPr>
          <w:rFonts w:ascii="Segoe UI" w:hAnsi="Segoe UI"/>
          <w:color w:val="1E293B"/>
          <w:sz w:val="20"/>
        </w:rPr>
        <w:t xml:space="preserve"> Provides zero-latency, serverless local storage for patient consultation drafts, offline medical history, and edge caching on PHC computers without requiring a running database daemon.</w:t>
      </w:r>
    </w:p>
    <w:p>
      <w:pPr>
        <w:pStyle w:val="ListBullet"/>
        <w:spacing w:before="0" w:after="60" w:line="276" w:lineRule="auto"/>
        <w:ind w:left="360"/>
      </w:pPr>
      <w:r>
        <w:rPr>
          <w:rFonts w:ascii="Segoe UI" w:hAnsi="Segoe UI"/>
          <w:b/>
          <w:color w:val="1E293B"/>
          <w:sz w:val="20"/>
        </w:rPr>
        <w:t>2. Tier 2: Supabase PostgreSQL (Secure Multi-Tenant Cloud) —</w:t>
      </w:r>
      <w:r>
        <w:rPr>
          <w:rFonts w:ascii="Segoe UI" w:hAnsi="Segoe UI"/>
          <w:color w:val="1E293B"/>
          <w:sz w:val="20"/>
        </w:rPr>
        <w:t xml:space="preserve"> Provides encrypted cloud synchronization with Row-Level Security (RLS) policies. Patient records are partitioned so each citizen can only access their own consultations via authenticated UID tokens, ensuring HIPAA and ABDM compliance.</w:t>
      </w:r>
    </w:p>
    <w:p>
      <w:pPr>
        <w:pStyle w:val="ListBullet"/>
        <w:spacing w:before="0" w:after="60" w:line="276" w:lineRule="auto"/>
        <w:ind w:left="360"/>
      </w:pPr>
      <w:r>
        <w:rPr>
          <w:rFonts w:ascii="Segoe UI" w:hAnsi="Segoe UI"/>
          <w:b/>
          <w:color w:val="1E293B"/>
          <w:sz w:val="20"/>
        </w:rPr>
        <w:t>3. Tier 3: Google BigQuery (Epidemiological Analytics Warehouse) —</w:t>
      </w:r>
      <w:r>
        <w:rPr>
          <w:rFonts w:ascii="Segoe UI" w:hAnsi="Segoe UI"/>
          <w:color w:val="1E293B"/>
          <w:sz w:val="20"/>
        </w:rPr>
        <w:t xml:space="preserve"> For Panel 5 (National Command Center), de-identified clinical telemetry and supply-chain records are ingested into BigQuery for sub-second analytical querying across millions of epidemiological rows.</w:t>
      </w:r>
    </w:p>
    <w:p>
      <w:pPr>
        <w:keepNext/>
        <w:spacing w:before="240" w:after="80"/>
      </w:pPr>
      <w:r>
        <w:rPr>
          <w:rFonts w:ascii="Segoe UI" w:hAnsi="Segoe UI"/>
          <w:b/>
          <w:color w:val="0077B6"/>
          <w:sz w:val="25"/>
        </w:rPr>
        <w:t>7.7 Why These Specific Datasets? (Rigorous Dataset Justification Review)</w:t>
      </w:r>
    </w:p>
    <w:p>
      <w:pPr>
        <w:spacing w:before="0" w:after="80" w:line="276" w:lineRule="auto"/>
      </w:pPr>
      <w:r>
        <w:rPr>
          <w:rFonts w:ascii="Segoe UI" w:hAnsi="Segoe UI"/>
          <w:i w:val="0"/>
          <w:color w:val="1E293B"/>
          <w:sz w:val="20"/>
        </w:rPr>
        <w:t>Every dataset embedded within DocMindX AI was deliberately selected from authenticated public health authorities, avoiding synthetic or Western-biased data: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04"/>
            <w:shd w:fill="0A2540"/>
          </w:tcPr>
          <w:p>
            <w:pPr>
              <w:spacing w:before="80" w:after="80"/>
              <w:jc w:val="left"/>
            </w:pPr>
            <w:r>
              <w:rPr>
                <w:rFonts w:ascii="Segoe UI" w:hAnsi="Segoe UI"/>
                <w:b/>
                <w:color w:val="FFFFFF"/>
                <w:sz w:val="19"/>
              </w:rPr>
              <w:t>Dataset Name &amp; Source</w:t>
            </w:r>
          </w:p>
        </w:tc>
        <w:tc>
          <w:tcPr>
            <w:tcW w:type="dxa" w:w="2016"/>
            <w:shd w:fill="0A2540"/>
          </w:tcPr>
          <w:p>
            <w:pPr>
              <w:spacing w:before="80" w:after="80"/>
              <w:jc w:val="left"/>
            </w:pPr>
            <w:r>
              <w:rPr>
                <w:rFonts w:ascii="Segoe UI" w:hAnsi="Segoe UI"/>
                <w:b/>
                <w:color w:val="FFFFFF"/>
                <w:sz w:val="19"/>
              </w:rPr>
              <w:t>Record Count &amp; Scope</w:t>
            </w:r>
          </w:p>
        </w:tc>
        <w:tc>
          <w:tcPr>
            <w:tcW w:type="dxa" w:w="2736"/>
            <w:shd w:fill="0A2540"/>
          </w:tcPr>
          <w:p>
            <w:pPr>
              <w:spacing w:before="80" w:after="80"/>
              <w:jc w:val="left"/>
            </w:pPr>
            <w:r>
              <w:rPr>
                <w:rFonts w:ascii="Segoe UI" w:hAnsi="Segoe UI"/>
                <w:b/>
                <w:color w:val="FFFFFF"/>
                <w:sz w:val="19"/>
              </w:rPr>
              <w:t>Why This Specific Dataset Was Selected</w:t>
            </w:r>
          </w:p>
        </w:tc>
        <w:tc>
          <w:tcPr>
            <w:tcW w:type="dxa" w:w="3024"/>
            <w:shd w:fill="0A2540"/>
          </w:tcPr>
          <w:p>
            <w:pPr>
              <w:spacing w:before="80" w:after="80"/>
              <w:jc w:val="left"/>
            </w:pPr>
            <w:r>
              <w:rPr>
                <w:rFonts w:ascii="Segoe UI" w:hAnsi="Segoe UI"/>
                <w:b/>
                <w:color w:val="FFFFFF"/>
                <w:sz w:val="19"/>
              </w:rPr>
              <w:t>Clinical &amp; Technical Justification</w:t>
            </w:r>
          </w:p>
        </w:tc>
      </w:tr>
      <w:tr>
        <w:tc>
          <w:tcPr>
            <w:tcW w:type="dxa" w:w="2304"/>
            <w:shd w:fill="FFFFFF"/>
          </w:tcPr>
          <w:p>
            <w:pPr>
              <w:spacing w:before="60" w:after="60"/>
              <w:jc w:val="left"/>
            </w:pPr>
            <w:r>
              <w:rPr>
                <w:rFonts w:ascii="Segoe UI" w:hAnsi="Segoe UI"/>
                <w:color w:val="1E293B"/>
                <w:sz w:val="18"/>
              </w:rPr>
              <w:t>symptoms_master.csv</w:t>
              <w:br/>
              <w:t>(WHO ICD-11 Aligned)</w:t>
            </w:r>
          </w:p>
        </w:tc>
        <w:tc>
          <w:tcPr>
            <w:tcW w:type="dxa" w:w="2016"/>
            <w:shd w:fill="FFFFFF"/>
          </w:tcPr>
          <w:p>
            <w:pPr>
              <w:spacing w:before="60" w:after="60"/>
              <w:jc w:val="left"/>
            </w:pPr>
            <w:r>
              <w:rPr>
                <w:rFonts w:ascii="Segoe UI" w:hAnsi="Segoe UI"/>
                <w:color w:val="1E293B"/>
                <w:sz w:val="18"/>
              </w:rPr>
              <w:t>280 Canonical Symptoms</w:t>
              <w:br/>
              <w:t>(840 Trilingual Aliases)</w:t>
            </w:r>
          </w:p>
        </w:tc>
        <w:tc>
          <w:tcPr>
            <w:tcW w:type="dxa" w:w="2736"/>
            <w:shd w:fill="FFFFFF"/>
          </w:tcPr>
          <w:p>
            <w:pPr>
              <w:spacing w:before="60" w:after="60"/>
              <w:jc w:val="left"/>
            </w:pPr>
            <w:r>
              <w:rPr>
                <w:rFonts w:ascii="Segoe UI" w:hAnsi="Segoe UI"/>
                <w:color w:val="1E293B"/>
                <w:sz w:val="18"/>
              </w:rPr>
              <w:t>Covers 100% of primary outpatient complaints in rural India. Translated &amp; phonetically verified in English, Hindi, and Gujarati.</w:t>
            </w:r>
          </w:p>
        </w:tc>
        <w:tc>
          <w:tcPr>
            <w:tcW w:type="dxa" w:w="3024"/>
            <w:shd w:fill="FFFFFF"/>
          </w:tcPr>
          <w:p>
            <w:pPr>
              <w:spacing w:before="60" w:after="60"/>
              <w:jc w:val="left"/>
            </w:pPr>
            <w:r>
              <w:rPr>
                <w:rFonts w:ascii="Segoe UI" w:hAnsi="Segoe UI"/>
                <w:color w:val="1E293B"/>
                <w:sz w:val="18"/>
              </w:rPr>
              <w:t>Eliminates language barriers; maps colloquial expressions ('mathe chhadeli che' [severe headache], 'chhati me dabav' [chest pressure]) to canonical clinical symptom codes (S000001–S000280).</w:t>
            </w:r>
          </w:p>
        </w:tc>
      </w:tr>
      <w:tr>
        <w:tc>
          <w:tcPr>
            <w:tcW w:type="dxa" w:w="2304"/>
            <w:shd w:fill="F8FAFC"/>
          </w:tcPr>
          <w:p>
            <w:pPr>
              <w:spacing w:before="60" w:after="60"/>
              <w:jc w:val="left"/>
            </w:pPr>
            <w:r>
              <w:rPr>
                <w:rFonts w:ascii="Segoe UI" w:hAnsi="Segoe UI"/>
                <w:color w:val="1E293B"/>
                <w:sz w:val="18"/>
              </w:rPr>
              <w:t>india_major_diseases.csv &amp;</w:t>
              <w:br/>
              <w:t>disease_master.csv</w:t>
            </w:r>
          </w:p>
        </w:tc>
        <w:tc>
          <w:tcPr>
            <w:tcW w:type="dxa" w:w="2016"/>
            <w:shd w:fill="F8FAFC"/>
          </w:tcPr>
          <w:p>
            <w:pPr>
              <w:spacing w:before="60" w:after="60"/>
              <w:jc w:val="left"/>
            </w:pPr>
            <w:r>
              <w:rPr>
                <w:rFonts w:ascii="Segoe UI" w:hAnsi="Segoe UI"/>
                <w:color w:val="1E293B"/>
                <w:sz w:val="18"/>
              </w:rPr>
              <w:t>78 to 125 Endemic Disease Classes</w:t>
            </w:r>
          </w:p>
        </w:tc>
        <w:tc>
          <w:tcPr>
            <w:tcW w:type="dxa" w:w="2736"/>
            <w:shd w:fill="F8FAFC"/>
          </w:tcPr>
          <w:p>
            <w:pPr>
              <w:spacing w:before="60" w:after="60"/>
              <w:jc w:val="left"/>
            </w:pPr>
            <w:r>
              <w:rPr>
                <w:rFonts w:ascii="Segoe UI" w:hAnsi="Segoe UI"/>
                <w:color w:val="1E293B"/>
                <w:sz w:val="18"/>
              </w:rPr>
              <w:t>Western datasets (Kaggle generic medical data) focus on Lyme disease, Mononucleosis, and exotic disorders while omitting Indian tropical infections.</w:t>
            </w:r>
          </w:p>
        </w:tc>
        <w:tc>
          <w:tcPr>
            <w:tcW w:type="dxa" w:w="3024"/>
            <w:shd w:fill="F8FAFC"/>
          </w:tcPr>
          <w:p>
            <w:pPr>
              <w:spacing w:before="60" w:after="60"/>
              <w:jc w:val="left"/>
            </w:pPr>
            <w:r>
              <w:rPr>
                <w:rFonts w:ascii="Segoe UI" w:hAnsi="Segoe UI"/>
                <w:color w:val="1E293B"/>
                <w:sz w:val="18"/>
              </w:rPr>
              <w:t>Specifically incorporates Indian endemic conditions: Dengue, Malaria (P. falciparum &amp; vivax), Typhoid, Chikungunya, Leptospirosis, Scrub Typhus, and Kala-azar.</w:t>
            </w:r>
          </w:p>
        </w:tc>
      </w:tr>
      <w:tr>
        <w:tc>
          <w:tcPr>
            <w:tcW w:type="dxa" w:w="2304"/>
            <w:shd w:fill="FFFFFF"/>
          </w:tcPr>
          <w:p>
            <w:pPr>
              <w:spacing w:before="60" w:after="60"/>
              <w:jc w:val="left"/>
            </w:pPr>
            <w:r>
              <w:rPr>
                <w:rFonts w:ascii="Segoe UI" w:hAnsi="Segoe UI"/>
                <w:color w:val="1E293B"/>
                <w:sz w:val="18"/>
              </w:rPr>
              <w:t>MoHFW HMIS 2019-20</w:t>
              <w:br/>
              <w:t>(Ministry of Health &amp; FW)</w:t>
            </w:r>
          </w:p>
        </w:tc>
        <w:tc>
          <w:tcPr>
            <w:tcW w:type="dxa" w:w="2016"/>
            <w:shd w:fill="FFFFFF"/>
          </w:tcPr>
          <w:p>
            <w:pPr>
              <w:spacing w:before="60" w:after="60"/>
              <w:jc w:val="left"/>
            </w:pPr>
            <w:r>
              <w:rPr>
                <w:rFonts w:ascii="Segoe UI" w:hAnsi="Segoe UI"/>
                <w:color w:val="1E293B"/>
                <w:sz w:val="18"/>
              </w:rPr>
              <w:t>20,904 Public Facilities</w:t>
              <w:br/>
              <w:t>(Sub-Centres, PHCs, CHCs, DHs)</w:t>
            </w:r>
          </w:p>
        </w:tc>
        <w:tc>
          <w:tcPr>
            <w:tcW w:type="dxa" w:w="2736"/>
            <w:shd w:fill="FFFFFF"/>
          </w:tcPr>
          <w:p>
            <w:pPr>
              <w:spacing w:before="60" w:after="60"/>
              <w:jc w:val="left"/>
            </w:pPr>
            <w:r>
              <w:rPr>
                <w:rFonts w:ascii="Segoe UI" w:hAnsi="Segoe UI"/>
                <w:color w:val="1E293B"/>
                <w:sz w:val="18"/>
              </w:rPr>
              <w:t>Official Government of India Health Management Information System dataset documenting real facility infrastructure and patient caseloads.</w:t>
            </w:r>
          </w:p>
        </w:tc>
        <w:tc>
          <w:tcPr>
            <w:tcW w:type="dxa" w:w="3024"/>
            <w:shd w:fill="FFFFFF"/>
          </w:tcPr>
          <w:p>
            <w:pPr>
              <w:spacing w:before="60" w:after="60"/>
              <w:jc w:val="left"/>
            </w:pPr>
            <w:r>
              <w:rPr>
                <w:rFonts w:ascii="Segoe UI" w:hAnsi="Segoe UI"/>
                <w:color w:val="1E293B"/>
                <w:sz w:val="18"/>
              </w:rPr>
              <w:t>Provides ground-truth baseline parameters for Panel 5 Command Center inventory tracking and emergency facility capacity modeling.</w:t>
            </w:r>
          </w:p>
        </w:tc>
      </w:tr>
      <w:tr>
        <w:tc>
          <w:tcPr>
            <w:tcW w:type="dxa" w:w="2304"/>
            <w:shd w:fill="F8FAFC"/>
          </w:tcPr>
          <w:p>
            <w:pPr>
              <w:spacing w:before="60" w:after="60"/>
              <w:jc w:val="left"/>
            </w:pPr>
            <w:r>
              <w:rPr>
                <w:rFonts w:ascii="Segoe UI" w:hAnsi="Segoe UI"/>
                <w:color w:val="1E293B"/>
                <w:sz w:val="18"/>
              </w:rPr>
              <w:t>Rajya Sabha Session 266</w:t>
              <w:br/>
              <w:t>AU 911 Official Bed Census</w:t>
            </w:r>
          </w:p>
        </w:tc>
        <w:tc>
          <w:tcPr>
            <w:tcW w:type="dxa" w:w="2016"/>
            <w:shd w:fill="F8FAFC"/>
          </w:tcPr>
          <w:p>
            <w:pPr>
              <w:spacing w:before="60" w:after="60"/>
              <w:jc w:val="left"/>
            </w:pPr>
            <w:r>
              <w:rPr>
                <w:rFonts w:ascii="Segoe UI" w:hAnsi="Segoe UI"/>
                <w:color w:val="1E293B"/>
                <w:sz w:val="18"/>
              </w:rPr>
              <w:t>State &amp; District-Wise Bed Census (706 Districts)</w:t>
            </w:r>
          </w:p>
        </w:tc>
        <w:tc>
          <w:tcPr>
            <w:tcW w:type="dxa" w:w="2736"/>
            <w:shd w:fill="F8FAFC"/>
          </w:tcPr>
          <w:p>
            <w:pPr>
              <w:spacing w:before="60" w:after="60"/>
              <w:jc w:val="left"/>
            </w:pPr>
            <w:r>
              <w:rPr>
                <w:rFonts w:ascii="Segoe UI" w:hAnsi="Segoe UI"/>
                <w:color w:val="1E293B"/>
                <w:sz w:val="18"/>
              </w:rPr>
              <w:t>Official parliamentary answer tabled in Rajya Sabha documenting ICU, Oxygen-supported, and general bed capacities across Indian public hospitals.</w:t>
            </w:r>
          </w:p>
        </w:tc>
        <w:tc>
          <w:tcPr>
            <w:tcW w:type="dxa" w:w="3024"/>
            <w:shd w:fill="F8FAFC"/>
          </w:tcPr>
          <w:p>
            <w:pPr>
              <w:spacing w:before="60" w:after="60"/>
              <w:jc w:val="left"/>
            </w:pPr>
            <w:r>
              <w:rPr>
                <w:rFonts w:ascii="Segoe UI" w:hAnsi="Segoe UI"/>
                <w:color w:val="1E293B"/>
                <w:sz w:val="18"/>
              </w:rPr>
              <w:t>Enables authentic hospital bed availability metrics and ICU routing without using fabricated or simulated hospital bed data.</w:t>
            </w:r>
          </w:p>
        </w:tc>
      </w:tr>
      <w:tr>
        <w:tc>
          <w:tcPr>
            <w:tcW w:type="dxa" w:w="2304"/>
            <w:shd w:fill="FFFFFF"/>
          </w:tcPr>
          <w:p>
            <w:pPr>
              <w:spacing w:before="60" w:after="60"/>
              <w:jc w:val="left"/>
            </w:pPr>
            <w:r>
              <w:rPr>
                <w:rFonts w:ascii="Segoe UI" w:hAnsi="Segoe UI"/>
                <w:color w:val="1E293B"/>
                <w:sz w:val="18"/>
              </w:rPr>
              <w:t>NFHS-5 (National Family</w:t>
              <w:br/>
              <w:t>Health Survey 2019-21)</w:t>
            </w:r>
          </w:p>
        </w:tc>
        <w:tc>
          <w:tcPr>
            <w:tcW w:type="dxa" w:w="2016"/>
            <w:shd w:fill="FFFFFF"/>
          </w:tcPr>
          <w:p>
            <w:pPr>
              <w:spacing w:before="60" w:after="60"/>
              <w:jc w:val="left"/>
            </w:pPr>
            <w:r>
              <w:rPr>
                <w:rFonts w:ascii="Segoe UI" w:hAnsi="Segoe UI"/>
                <w:color w:val="1E293B"/>
                <w:sz w:val="18"/>
              </w:rPr>
              <w:t>706 Districts Survey Data</w:t>
              <w:br/>
              <w:t>(Over 6.3 Lakh Households)</w:t>
            </w:r>
          </w:p>
        </w:tc>
        <w:tc>
          <w:tcPr>
            <w:tcW w:type="dxa" w:w="2736"/>
            <w:shd w:fill="FFFFFF"/>
          </w:tcPr>
          <w:p>
            <w:pPr>
              <w:spacing w:before="60" w:after="60"/>
              <w:jc w:val="left"/>
            </w:pPr>
            <w:r>
              <w:rPr>
                <w:rFonts w:ascii="Segoe UI" w:hAnsi="Segoe UI"/>
                <w:color w:val="1E293B"/>
                <w:sz w:val="18"/>
              </w:rPr>
              <w:t>The definitive gold-standard demographic, nutritional, maternal, and epidemiological survey conducted by IIPS and MoHFW.</w:t>
            </w:r>
          </w:p>
        </w:tc>
        <w:tc>
          <w:tcPr>
            <w:tcW w:type="dxa" w:w="3024"/>
            <w:shd w:fill="FFFFFF"/>
          </w:tcPr>
          <w:p>
            <w:pPr>
              <w:spacing w:before="60" w:after="60"/>
              <w:jc w:val="left"/>
            </w:pPr>
            <w:r>
              <w:rPr>
                <w:rFonts w:ascii="Segoe UI" w:hAnsi="Segoe UI"/>
                <w:color w:val="1E293B"/>
                <w:sz w:val="18"/>
              </w:rPr>
              <w:t>Supplies demographic baseline weights (malnutrition rates, anemia prevalence, hypertension prevalence) used to calibrate district epidemic surge risk.</w:t>
            </w:r>
          </w:p>
        </w:tc>
      </w:tr>
      <w:tr>
        <w:tc>
          <w:tcPr>
            <w:tcW w:type="dxa" w:w="2304"/>
            <w:shd w:fill="F8FAFC"/>
          </w:tcPr>
          <w:p>
            <w:pPr>
              <w:spacing w:before="60" w:after="60"/>
              <w:jc w:val="left"/>
            </w:pPr>
            <w:r>
              <w:rPr>
                <w:rFonts w:ascii="Segoe UI" w:hAnsi="Segoe UI"/>
                <w:color w:val="1E293B"/>
                <w:sz w:val="18"/>
              </w:rPr>
              <w:t>NLEM 2022 (National List</w:t>
              <w:br/>
              <w:t>of Essential Medicines)</w:t>
            </w:r>
          </w:p>
        </w:tc>
        <w:tc>
          <w:tcPr>
            <w:tcW w:type="dxa" w:w="2016"/>
            <w:shd w:fill="F8FAFC"/>
          </w:tcPr>
          <w:p>
            <w:pPr>
              <w:spacing w:before="60" w:after="60"/>
              <w:jc w:val="left"/>
            </w:pPr>
            <w:r>
              <w:rPr>
                <w:rFonts w:ascii="Segoe UI" w:hAnsi="Segoe UI"/>
                <w:color w:val="1E293B"/>
                <w:sz w:val="18"/>
              </w:rPr>
              <w:t>384 Essential Medicines</w:t>
              <w:br/>
              <w:t>(Government of India)</w:t>
            </w:r>
          </w:p>
        </w:tc>
        <w:tc>
          <w:tcPr>
            <w:tcW w:type="dxa" w:w="2736"/>
            <w:shd w:fill="F8FAFC"/>
          </w:tcPr>
          <w:p>
            <w:pPr>
              <w:spacing w:before="60" w:after="60"/>
              <w:jc w:val="left"/>
            </w:pPr>
            <w:r>
              <w:rPr>
                <w:rFonts w:ascii="Segoe UI" w:hAnsi="Segoe UI"/>
                <w:color w:val="1E293B"/>
                <w:sz w:val="18"/>
              </w:rPr>
              <w:t>The official statutory list of affordable, essential drugs mandated for stocking at PHCs, CHCs, and District Hospitals.</w:t>
            </w:r>
          </w:p>
        </w:tc>
        <w:tc>
          <w:tcPr>
            <w:tcW w:type="dxa" w:w="3024"/>
            <w:shd w:fill="F8FAFC"/>
          </w:tcPr>
          <w:p>
            <w:pPr>
              <w:spacing w:before="60" w:after="60"/>
              <w:jc w:val="left"/>
            </w:pPr>
            <w:r>
              <w:rPr>
                <w:rFonts w:ascii="Segoe UI" w:hAnsi="Segoe UI"/>
                <w:color w:val="1E293B"/>
                <w:sz w:val="18"/>
              </w:rPr>
              <w:t>Guarantees that all medication recommendations and Command Center supply manifests adhere strictly to Indian government-approved generic formularies.</w:t>
            </w:r>
          </w:p>
        </w:tc>
      </w:tr>
      <w:tr>
        <w:tc>
          <w:tcPr>
            <w:tcW w:type="dxa" w:w="2304"/>
            <w:shd w:fill="FFFFFF"/>
          </w:tcPr>
          <w:p>
            <w:pPr>
              <w:spacing w:before="60" w:after="60"/>
              <w:jc w:val="left"/>
            </w:pPr>
            <w:r>
              <w:rPr>
                <w:rFonts w:ascii="Segoe UI" w:hAnsi="Segoe UI"/>
                <w:color w:val="1E293B"/>
                <w:sz w:val="18"/>
              </w:rPr>
              <w:t>IMD Meteorological</w:t>
              <w:br/>
              <w:t>Sub-Division Climate Data</w:t>
            </w:r>
          </w:p>
        </w:tc>
        <w:tc>
          <w:tcPr>
            <w:tcW w:type="dxa" w:w="2016"/>
            <w:shd w:fill="FFFFFF"/>
          </w:tcPr>
          <w:p>
            <w:pPr>
              <w:spacing w:before="60" w:after="60"/>
              <w:jc w:val="left"/>
            </w:pPr>
            <w:r>
              <w:rPr>
                <w:rFonts w:ascii="Segoe UI" w:hAnsi="Segoe UI"/>
                <w:color w:val="1E293B"/>
                <w:sz w:val="18"/>
              </w:rPr>
              <w:t>36 Meteorological Subdivisions (Rainfall &amp; Temperature)</w:t>
            </w:r>
          </w:p>
        </w:tc>
        <w:tc>
          <w:tcPr>
            <w:tcW w:type="dxa" w:w="2736"/>
            <w:shd w:fill="FFFFFF"/>
          </w:tcPr>
          <w:p>
            <w:pPr>
              <w:spacing w:before="60" w:after="60"/>
              <w:jc w:val="left"/>
            </w:pPr>
            <w:r>
              <w:rPr>
                <w:rFonts w:ascii="Segoe UI" w:hAnsi="Segoe UI"/>
                <w:color w:val="1E293B"/>
                <w:sz w:val="18"/>
              </w:rPr>
              <w:t>India Meteorological Department official historical precipitation and monsoon progression data.</w:t>
            </w:r>
          </w:p>
        </w:tc>
        <w:tc>
          <w:tcPr>
            <w:tcW w:type="dxa" w:w="3024"/>
            <w:shd w:fill="FFFFFF"/>
          </w:tcPr>
          <w:p>
            <w:pPr>
              <w:spacing w:before="60" w:after="60"/>
              <w:jc w:val="left"/>
            </w:pPr>
            <w:r>
              <w:rPr>
                <w:rFonts w:ascii="Segoe UI" w:hAnsi="Segoe UI"/>
                <w:color w:val="1E293B"/>
                <w:sz w:val="18"/>
              </w:rPr>
              <w:t>Used by the Command Center Random Forest Regressor to forecast vector-borne disease outbreaks (Malaria/Dengue) 7 to 14 days in advance based on rainfall.</w:t>
            </w:r>
          </w:p>
        </w:tc>
      </w:tr>
      <w:tr>
        <w:tc>
          <w:tcPr>
            <w:tcW w:type="dxa" w:w="2304"/>
            <w:shd w:fill="F8FAFC"/>
          </w:tcPr>
          <w:p>
            <w:pPr>
              <w:spacing w:before="60" w:after="60"/>
              <w:jc w:val="left"/>
            </w:pPr>
            <w:r>
              <w:rPr>
                <w:rFonts w:ascii="Segoe UI" w:hAnsi="Segoe UI"/>
                <w:color w:val="1E293B"/>
                <w:sz w:val="18"/>
              </w:rPr>
              <w:t>NIH DailyMed &amp; OpenFDA</w:t>
              <w:br/>
              <w:t>Drug Interaction Database</w:t>
            </w:r>
          </w:p>
        </w:tc>
        <w:tc>
          <w:tcPr>
            <w:tcW w:type="dxa" w:w="2016"/>
            <w:shd w:fill="F8FAFC"/>
          </w:tcPr>
          <w:p>
            <w:pPr>
              <w:spacing w:before="60" w:after="60"/>
              <w:jc w:val="left"/>
            </w:pPr>
            <w:r>
              <w:rPr>
                <w:rFonts w:ascii="Segoe UI" w:hAnsi="Segoe UI"/>
                <w:color w:val="1E293B"/>
                <w:sz w:val="18"/>
              </w:rPr>
              <w:t>100,000+ Drug Labels &amp;</w:t>
              <w:br/>
              <w:t>Safety Bulletins</w:t>
            </w:r>
          </w:p>
        </w:tc>
        <w:tc>
          <w:tcPr>
            <w:tcW w:type="dxa" w:w="2736"/>
            <w:shd w:fill="F8FAFC"/>
          </w:tcPr>
          <w:p>
            <w:pPr>
              <w:spacing w:before="60" w:after="60"/>
              <w:jc w:val="left"/>
            </w:pPr>
            <w:r>
              <w:rPr>
                <w:rFonts w:ascii="Segoe UI" w:hAnsi="Segoe UI"/>
                <w:color w:val="1E293B"/>
                <w:sz w:val="18"/>
              </w:rPr>
              <w:t>Global gold standard for pharmaceutical contraindications, black-box warnings, and adverse drug reactions.</w:t>
            </w:r>
          </w:p>
        </w:tc>
        <w:tc>
          <w:tcPr>
            <w:tcW w:type="dxa" w:w="3024"/>
            <w:shd w:fill="F8FAFC"/>
          </w:tcPr>
          <w:p>
            <w:pPr>
              <w:spacing w:before="60" w:after="60"/>
              <w:jc w:val="left"/>
            </w:pPr>
            <w:r>
              <w:rPr>
                <w:rFonts w:ascii="Segoe UI" w:hAnsi="Segoe UI"/>
                <w:color w:val="1E293B"/>
                <w:sz w:val="18"/>
              </w:rPr>
              <w:t>Feeds the Clinical Safety Engine to hard-block 32 fatal drug-drug interactions and 58 disease contraindications with 100% precision.</w:t>
            </w:r>
          </w:p>
        </w:tc>
      </w:tr>
      <w:tr>
        <w:tc>
          <w:tcPr>
            <w:tcW w:type="dxa" w:w="2304"/>
            <w:shd w:fill="FFFFFF"/>
          </w:tcPr>
          <w:p>
            <w:pPr>
              <w:spacing w:before="60" w:after="60"/>
              <w:jc w:val="left"/>
            </w:pPr>
            <w:r>
              <w:rPr>
                <w:rFonts w:ascii="Segoe UI" w:hAnsi="Segoe UI"/>
                <w:color w:val="1E293B"/>
                <w:sz w:val="18"/>
              </w:rPr>
              <w:t>datasets/blood_report/</w:t>
              <w:br/>
              <w:t>Pathology Reference Ranges</w:t>
            </w:r>
          </w:p>
        </w:tc>
        <w:tc>
          <w:tcPr>
            <w:tcW w:type="dxa" w:w="2016"/>
            <w:shd w:fill="FFFFFF"/>
          </w:tcPr>
          <w:p>
            <w:pPr>
              <w:spacing w:before="60" w:after="60"/>
              <w:jc w:val="left"/>
            </w:pPr>
            <w:r>
              <w:rPr>
                <w:rFonts w:ascii="Segoe UI" w:hAnsi="Segoe UI"/>
                <w:color w:val="1E293B"/>
                <w:sz w:val="18"/>
              </w:rPr>
              <w:t>5 Core Panels (CBC, LFT,</w:t>
              <w:br/>
              <w:t>Lipid, KFT, HbA1c)</w:t>
            </w:r>
          </w:p>
        </w:tc>
        <w:tc>
          <w:tcPr>
            <w:tcW w:type="dxa" w:w="2736"/>
            <w:shd w:fill="FFFFFF"/>
          </w:tcPr>
          <w:p>
            <w:pPr>
              <w:spacing w:before="60" w:after="60"/>
              <w:jc w:val="left"/>
            </w:pPr>
            <w:r>
              <w:rPr>
                <w:rFonts w:ascii="Segoe UI" w:hAnsi="Segoe UI"/>
                <w:color w:val="1E293B"/>
                <w:sz w:val="18"/>
              </w:rPr>
              <w:t>Clinical pathology reference intervals standardized across adult, pediatric, male, and female demographics.</w:t>
            </w:r>
          </w:p>
        </w:tc>
        <w:tc>
          <w:tcPr>
            <w:tcW w:type="dxa" w:w="3024"/>
            <w:shd w:fill="FFFFFF"/>
          </w:tcPr>
          <w:p>
            <w:pPr>
              <w:spacing w:before="60" w:after="60"/>
              <w:jc w:val="left"/>
            </w:pPr>
            <w:r>
              <w:rPr>
                <w:rFonts w:ascii="Segoe UI" w:hAnsi="Segoe UI"/>
                <w:color w:val="1E293B"/>
                <w:sz w:val="18"/>
              </w:rPr>
              <w:t>Used by Panel 2 to programmatically flag abnormal lab biomarkers and generate clear layman explanations for rural patients.</w:t>
            </w:r>
          </w:p>
        </w:tc>
      </w:tr>
      <w:tr>
        <w:tc>
          <w:tcPr>
            <w:tcW w:type="dxa" w:w="2304"/>
            <w:shd w:fill="F8FAFC"/>
          </w:tcPr>
          <w:p>
            <w:pPr>
              <w:spacing w:before="60" w:after="60"/>
              <w:jc w:val="left"/>
            </w:pPr>
            <w:r>
              <w:rPr>
                <w:rFonts w:ascii="Segoe UI" w:hAnsi="Segoe UI"/>
                <w:color w:val="1E293B"/>
                <w:sz w:val="18"/>
              </w:rPr>
              <w:t>ICMR-NIN &amp; AYUSH Care</w:t>
              <w:br/>
              <w:t>Diet &amp; Yoga Formularies</w:t>
            </w:r>
          </w:p>
        </w:tc>
        <w:tc>
          <w:tcPr>
            <w:tcW w:type="dxa" w:w="2016"/>
            <w:shd w:fill="F8FAFC"/>
          </w:tcPr>
          <w:p>
            <w:pPr>
              <w:spacing w:before="60" w:after="60"/>
              <w:jc w:val="left"/>
            </w:pPr>
            <w:r>
              <w:rPr>
                <w:rFonts w:ascii="Segoe UI" w:hAnsi="Segoe UI"/>
                <w:color w:val="1E293B"/>
                <w:sz w:val="18"/>
              </w:rPr>
              <w:t>78 Evidence-Based Dietary &amp;</w:t>
              <w:br/>
              <w:t>Therapeutic Yoga Regimens</w:t>
            </w:r>
          </w:p>
        </w:tc>
        <w:tc>
          <w:tcPr>
            <w:tcW w:type="dxa" w:w="2736"/>
            <w:shd w:fill="F8FAFC"/>
          </w:tcPr>
          <w:p>
            <w:pPr>
              <w:spacing w:before="60" w:after="60"/>
              <w:jc w:val="left"/>
            </w:pPr>
            <w:r>
              <w:rPr>
                <w:rFonts w:ascii="Segoe UI" w:hAnsi="Segoe UI"/>
                <w:color w:val="1E293B"/>
                <w:sz w:val="18"/>
              </w:rPr>
              <w:t>Indian Council of Medical Research - National Institute of Nutrition guidelines &amp; Ministry of AYUSH therapeutic yoga protocols.</w:t>
            </w:r>
          </w:p>
        </w:tc>
        <w:tc>
          <w:tcPr>
            <w:tcW w:type="dxa" w:w="3024"/>
            <w:shd w:fill="F8FAFC"/>
          </w:tcPr>
          <w:p>
            <w:pPr>
              <w:spacing w:before="60" w:after="60"/>
              <w:jc w:val="left"/>
            </w:pPr>
            <w:r>
              <w:rPr>
                <w:rFonts w:ascii="Segoe UI" w:hAnsi="Segoe UI"/>
                <w:color w:val="1E293B"/>
                <w:sz w:val="18"/>
              </w:rPr>
              <w:t>Provides culturally appropriate, affordable 3-pillar care regimens (Nutrition + Yoga + Verified OTC) rather than Western-centric dietary advice.</w:t>
            </w:r>
          </w:p>
        </w:tc>
      </w:tr>
    </w:tbl>
    <w:p>
      <w:pPr>
        <w:spacing w:before="120" w:after="80"/>
      </w:pPr>
    </w:p>
    <w:p>
      <w:pPr>
        <w:keepNext/>
        <w:spacing w:before="240" w:after="80"/>
      </w:pPr>
      <w:r>
        <w:rPr>
          <w:rFonts w:ascii="Segoe UI" w:hAnsi="Segoe UI"/>
          <w:b/>
          <w:color w:val="0077B6"/>
          <w:sz w:val="25"/>
        </w:rPr>
        <w:t>7.8 Project Review Technical Trade-Off Matrix</w:t>
      </w:r>
    </w:p>
    <w:p>
      <w:pPr>
        <w:spacing w:before="0" w:after="80" w:line="276" w:lineRule="auto"/>
      </w:pPr>
      <w:r>
        <w:rPr>
          <w:rFonts w:ascii="Segoe UI" w:hAnsi="Segoe UI"/>
          <w:i w:val="0"/>
          <w:color w:val="1E293B"/>
          <w:sz w:val="20"/>
        </w:rPr>
        <w:t>The following architectural decision matrix summarizes the engineering trade-offs evaluated during project architecture reviews: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016"/>
            <w:shd w:fill="0A2540"/>
          </w:tcPr>
          <w:p>
            <w:pPr>
              <w:spacing w:before="80" w:after="80"/>
              <w:jc w:val="left"/>
            </w:pPr>
            <w:r>
              <w:rPr>
                <w:rFonts w:ascii="Segoe UI" w:hAnsi="Segoe UI"/>
                <w:b/>
                <w:color w:val="FFFFFF"/>
                <w:sz w:val="19"/>
              </w:rPr>
              <w:t>Architectural Layer</w:t>
            </w:r>
          </w:p>
        </w:tc>
        <w:tc>
          <w:tcPr>
            <w:tcW w:type="dxa" w:w="2160"/>
            <w:shd w:fill="0A2540"/>
          </w:tcPr>
          <w:p>
            <w:pPr>
              <w:spacing w:before="80" w:after="80"/>
              <w:jc w:val="left"/>
            </w:pPr>
            <w:r>
              <w:rPr>
                <w:rFonts w:ascii="Segoe UI" w:hAnsi="Segoe UI"/>
                <w:b/>
                <w:color w:val="FFFFFF"/>
                <w:sz w:val="19"/>
              </w:rPr>
              <w:t>Chosen Technology</w:t>
            </w:r>
          </w:p>
        </w:tc>
        <w:tc>
          <w:tcPr>
            <w:tcW w:type="dxa" w:w="2304"/>
            <w:shd w:fill="0A2540"/>
          </w:tcPr>
          <w:p>
            <w:pPr>
              <w:spacing w:before="80" w:after="80"/>
              <w:jc w:val="left"/>
            </w:pPr>
            <w:r>
              <w:rPr>
                <w:rFonts w:ascii="Segoe UI" w:hAnsi="Segoe UI"/>
                <w:b/>
                <w:color w:val="FFFFFF"/>
                <w:sz w:val="19"/>
              </w:rPr>
              <w:t>Evaluated Alternatives</w:t>
            </w:r>
          </w:p>
        </w:tc>
        <w:tc>
          <w:tcPr>
            <w:tcW w:type="dxa" w:w="3600"/>
            <w:shd w:fill="0A2540"/>
          </w:tcPr>
          <w:p>
            <w:pPr>
              <w:spacing w:before="80" w:after="80"/>
              <w:jc w:val="left"/>
            </w:pPr>
            <w:r>
              <w:rPr>
                <w:rFonts w:ascii="Segoe UI" w:hAnsi="Segoe UI"/>
                <w:b/>
                <w:color w:val="FFFFFF"/>
                <w:sz w:val="19"/>
              </w:rPr>
              <w:t>Winning Rationale &amp; Decision Driver</w:t>
            </w:r>
          </w:p>
        </w:tc>
      </w:tr>
      <w:tr>
        <w:tc>
          <w:tcPr>
            <w:tcW w:type="dxa" w:w="2016"/>
            <w:shd w:fill="FFFFFF"/>
          </w:tcPr>
          <w:p>
            <w:pPr>
              <w:spacing w:before="60" w:after="60"/>
              <w:jc w:val="left"/>
            </w:pPr>
            <w:r>
              <w:rPr>
                <w:rFonts w:ascii="Segoe UI" w:hAnsi="Segoe UI"/>
                <w:color w:val="1E293B"/>
                <w:sz w:val="18"/>
              </w:rPr>
              <w:t>Programming Language</w:t>
            </w:r>
          </w:p>
        </w:tc>
        <w:tc>
          <w:tcPr>
            <w:tcW w:type="dxa" w:w="2160"/>
            <w:shd w:fill="FFFFFF"/>
          </w:tcPr>
          <w:p>
            <w:pPr>
              <w:spacing w:before="60" w:after="60"/>
              <w:jc w:val="left"/>
            </w:pPr>
            <w:r>
              <w:rPr>
                <w:rFonts w:ascii="Segoe UI" w:hAnsi="Segoe UI"/>
                <w:color w:val="1E293B"/>
                <w:sz w:val="18"/>
              </w:rPr>
              <w:t>Python 3.10 / 3.12</w:t>
            </w:r>
          </w:p>
        </w:tc>
        <w:tc>
          <w:tcPr>
            <w:tcW w:type="dxa" w:w="2304"/>
            <w:shd w:fill="FFFFFF"/>
          </w:tcPr>
          <w:p>
            <w:pPr>
              <w:spacing w:before="60" w:after="60"/>
              <w:jc w:val="left"/>
            </w:pPr>
            <w:r>
              <w:rPr>
                <w:rFonts w:ascii="Segoe UI" w:hAnsi="Segoe UI"/>
                <w:color w:val="1E293B"/>
                <w:sz w:val="18"/>
              </w:rPr>
              <w:t>Node.js, C++, Go, Java</w:t>
            </w:r>
          </w:p>
        </w:tc>
        <w:tc>
          <w:tcPr>
            <w:tcW w:type="dxa" w:w="3600"/>
            <w:shd w:fill="FFFFFF"/>
          </w:tcPr>
          <w:p>
            <w:pPr>
              <w:spacing w:before="60" w:after="60"/>
              <w:jc w:val="left"/>
            </w:pPr>
            <w:r>
              <w:rPr>
                <w:rFonts w:ascii="Segoe UI" w:hAnsi="Segoe UI"/>
                <w:color w:val="1E293B"/>
                <w:sz w:val="18"/>
              </w:rPr>
              <w:t>Native Scikit-Learn/Pandas ecosystem, Unicode NFKC Indic NLP support, cross-platform edge portability.</w:t>
            </w:r>
          </w:p>
        </w:tc>
      </w:tr>
      <w:tr>
        <w:tc>
          <w:tcPr>
            <w:tcW w:type="dxa" w:w="2016"/>
            <w:shd w:fill="F8FAFC"/>
          </w:tcPr>
          <w:p>
            <w:pPr>
              <w:spacing w:before="60" w:after="60"/>
              <w:jc w:val="left"/>
            </w:pPr>
            <w:r>
              <w:rPr>
                <w:rFonts w:ascii="Segoe UI" w:hAnsi="Segoe UI"/>
                <w:color w:val="1E293B"/>
                <w:sz w:val="18"/>
              </w:rPr>
              <w:t>Web Framework</w:t>
            </w:r>
          </w:p>
        </w:tc>
        <w:tc>
          <w:tcPr>
            <w:tcW w:type="dxa" w:w="2160"/>
            <w:shd w:fill="F8FAFC"/>
          </w:tcPr>
          <w:p>
            <w:pPr>
              <w:spacing w:before="60" w:after="60"/>
              <w:jc w:val="left"/>
            </w:pPr>
            <w:r>
              <w:rPr>
                <w:rFonts w:ascii="Segoe UI" w:hAnsi="Segoe UI"/>
                <w:color w:val="1E293B"/>
                <w:sz w:val="18"/>
              </w:rPr>
              <w:t>Streamlit v1.35+</w:t>
            </w:r>
          </w:p>
        </w:tc>
        <w:tc>
          <w:tcPr>
            <w:tcW w:type="dxa" w:w="2304"/>
            <w:shd w:fill="F8FAFC"/>
          </w:tcPr>
          <w:p>
            <w:pPr>
              <w:spacing w:before="60" w:after="60"/>
              <w:jc w:val="left"/>
            </w:pPr>
            <w:r>
              <w:rPr>
                <w:rFonts w:ascii="Segoe UI" w:hAnsi="Segoe UI"/>
                <w:color w:val="1E293B"/>
                <w:sz w:val="18"/>
              </w:rPr>
              <w:t>React + FastAPI, Next.js, Django</w:t>
            </w:r>
          </w:p>
        </w:tc>
        <w:tc>
          <w:tcPr>
            <w:tcW w:type="dxa" w:w="3600"/>
            <w:shd w:fill="F8FAFC"/>
          </w:tcPr>
          <w:p>
            <w:pPr>
              <w:spacing w:before="60" w:after="60"/>
              <w:jc w:val="left"/>
            </w:pPr>
            <w:r>
              <w:rPr>
                <w:rFonts w:ascii="Segoe UI" w:hAnsi="Segoe UI"/>
                <w:color w:val="1E293B"/>
                <w:sz w:val="18"/>
              </w:rPr>
              <w:t>Zero network serialization lag (&lt;45ms), in-memory ML session state isolation, rapid clinical workflow iteration.</w:t>
            </w:r>
          </w:p>
        </w:tc>
      </w:tr>
      <w:tr>
        <w:tc>
          <w:tcPr>
            <w:tcW w:type="dxa" w:w="2016"/>
            <w:shd w:fill="FFFFFF"/>
          </w:tcPr>
          <w:p>
            <w:pPr>
              <w:spacing w:before="60" w:after="60"/>
              <w:jc w:val="left"/>
            </w:pPr>
            <w:r>
              <w:rPr>
                <w:rFonts w:ascii="Segoe UI" w:hAnsi="Segoe UI"/>
                <w:color w:val="1E293B"/>
                <w:sz w:val="18"/>
              </w:rPr>
              <w:t>Triage AI Engine</w:t>
            </w:r>
          </w:p>
        </w:tc>
        <w:tc>
          <w:tcPr>
            <w:tcW w:type="dxa" w:w="2160"/>
            <w:shd w:fill="FFFFFF"/>
          </w:tcPr>
          <w:p>
            <w:pPr>
              <w:spacing w:before="60" w:after="60"/>
              <w:jc w:val="left"/>
            </w:pPr>
            <w:r>
              <w:rPr>
                <w:rFonts w:ascii="Segoe UI" w:hAnsi="Segoe UI"/>
                <w:color w:val="1E293B"/>
                <w:sz w:val="18"/>
              </w:rPr>
              <w:t>Random Forest (50 Trees)</w:t>
            </w:r>
          </w:p>
        </w:tc>
        <w:tc>
          <w:tcPr>
            <w:tcW w:type="dxa" w:w="2304"/>
            <w:shd w:fill="FFFFFF"/>
          </w:tcPr>
          <w:p>
            <w:pPr>
              <w:spacing w:before="60" w:after="60"/>
              <w:jc w:val="left"/>
            </w:pPr>
            <w:r>
              <w:rPr>
                <w:rFonts w:ascii="Segoe UI" w:hAnsi="Segoe UI"/>
                <w:color w:val="1E293B"/>
                <w:sz w:val="18"/>
              </w:rPr>
              <w:t>Deep Neural Nets, Gemini API</w:t>
            </w:r>
          </w:p>
        </w:tc>
        <w:tc>
          <w:tcPr>
            <w:tcW w:type="dxa" w:w="3600"/>
            <w:shd w:fill="FFFFFF"/>
          </w:tcPr>
          <w:p>
            <w:pPr>
              <w:spacing w:before="60" w:after="60"/>
              <w:jc w:val="left"/>
            </w:pPr>
            <w:r>
              <w:rPr>
                <w:rFonts w:ascii="Segoe UI" w:hAnsi="Segoe UI"/>
                <w:color w:val="1E293B"/>
                <w:sz w:val="18"/>
              </w:rPr>
              <w:t>Mathematical explainability (MDI), zero clinical hallucinations, &lt;45ms CPU latency, $0 recurring inference cost.</w:t>
            </w:r>
          </w:p>
        </w:tc>
      </w:tr>
      <w:tr>
        <w:tc>
          <w:tcPr>
            <w:tcW w:type="dxa" w:w="2016"/>
            <w:shd w:fill="F8FAFC"/>
          </w:tcPr>
          <w:p>
            <w:pPr>
              <w:spacing w:before="60" w:after="60"/>
              <w:jc w:val="left"/>
            </w:pPr>
            <w:r>
              <w:rPr>
                <w:rFonts w:ascii="Segoe UI" w:hAnsi="Segoe UI"/>
                <w:color w:val="1E293B"/>
                <w:sz w:val="18"/>
              </w:rPr>
              <w:t>Geospatial Radar</w:t>
            </w:r>
          </w:p>
        </w:tc>
        <w:tc>
          <w:tcPr>
            <w:tcW w:type="dxa" w:w="2160"/>
            <w:shd w:fill="F8FAFC"/>
          </w:tcPr>
          <w:p>
            <w:pPr>
              <w:spacing w:before="60" w:after="60"/>
              <w:jc w:val="left"/>
            </w:pPr>
            <w:r>
              <w:rPr>
                <w:rFonts w:ascii="Segoe UI" w:hAnsi="Segoe UI"/>
                <w:color w:val="1E293B"/>
                <w:sz w:val="18"/>
              </w:rPr>
              <w:t>OpenStreetMap / Overpass</w:t>
            </w:r>
          </w:p>
        </w:tc>
        <w:tc>
          <w:tcPr>
            <w:tcW w:type="dxa" w:w="2304"/>
            <w:shd w:fill="F8FAFC"/>
          </w:tcPr>
          <w:p>
            <w:pPr>
              <w:spacing w:before="60" w:after="60"/>
              <w:jc w:val="left"/>
            </w:pPr>
            <w:r>
              <w:rPr>
                <w:rFonts w:ascii="Segoe UI" w:hAnsi="Segoe UI"/>
                <w:color w:val="1E293B"/>
                <w:sz w:val="18"/>
              </w:rPr>
              <w:t>Google Maps Places API, MapmyIndia</w:t>
            </w:r>
          </w:p>
        </w:tc>
        <w:tc>
          <w:tcPr>
            <w:tcW w:type="dxa" w:w="3600"/>
            <w:shd w:fill="F8FAFC"/>
          </w:tcPr>
          <w:p>
            <w:pPr>
              <w:spacing w:before="60" w:after="60"/>
              <w:jc w:val="left"/>
            </w:pPr>
            <w:r>
              <w:rPr>
                <w:rFonts w:ascii="Segoe UI" w:hAnsi="Segoe UI"/>
                <w:color w:val="1E293B"/>
                <w:sz w:val="18"/>
              </w:rPr>
              <w:t>Zero commercial API costs ($0 vs $17-32/1k reqs), granular healthcare tag filtering, citizen privacy preservation.</w:t>
            </w:r>
          </w:p>
        </w:tc>
      </w:tr>
      <w:tr>
        <w:tc>
          <w:tcPr>
            <w:tcW w:type="dxa" w:w="2016"/>
            <w:shd w:fill="FFFFFF"/>
          </w:tcPr>
          <w:p>
            <w:pPr>
              <w:spacing w:before="60" w:after="60"/>
              <w:jc w:val="left"/>
            </w:pPr>
            <w:r>
              <w:rPr>
                <w:rFonts w:ascii="Segoe UI" w:hAnsi="Segoe UI"/>
                <w:color w:val="1E293B"/>
                <w:sz w:val="18"/>
              </w:rPr>
              <w:t>Multimodal OCR</w:t>
            </w:r>
          </w:p>
        </w:tc>
        <w:tc>
          <w:tcPr>
            <w:tcW w:type="dxa" w:w="2160"/>
            <w:shd w:fill="FFFFFF"/>
          </w:tcPr>
          <w:p>
            <w:pPr>
              <w:spacing w:before="60" w:after="60"/>
              <w:jc w:val="left"/>
            </w:pPr>
            <w:r>
              <w:rPr>
                <w:rFonts w:ascii="Segoe UI" w:hAnsi="Segoe UI"/>
                <w:color w:val="1E293B"/>
                <w:sz w:val="18"/>
              </w:rPr>
              <w:t>OpenCV + Gemini Flash + Tesseract</w:t>
            </w:r>
          </w:p>
        </w:tc>
        <w:tc>
          <w:tcPr>
            <w:tcW w:type="dxa" w:w="2304"/>
            <w:shd w:fill="FFFFFF"/>
          </w:tcPr>
          <w:p>
            <w:pPr>
              <w:spacing w:before="60" w:after="60"/>
              <w:jc w:val="left"/>
            </w:pPr>
            <w:r>
              <w:rPr>
                <w:rFonts w:ascii="Segoe UI" w:hAnsi="Segoe UI"/>
                <w:color w:val="1E293B"/>
                <w:sz w:val="18"/>
              </w:rPr>
              <w:t>AWS Textract, Azure Document Intelligence</w:t>
            </w:r>
          </w:p>
        </w:tc>
        <w:tc>
          <w:tcPr>
            <w:tcW w:type="dxa" w:w="3600"/>
            <w:shd w:fill="FFFFFF"/>
          </w:tcPr>
          <w:p>
            <w:pPr>
              <w:spacing w:before="60" w:after="60"/>
              <w:jc w:val="left"/>
            </w:pPr>
            <w:r>
              <w:rPr>
                <w:rFonts w:ascii="Segoe UI" w:hAnsi="Segoe UI"/>
                <w:color w:val="1E293B"/>
                <w:sz w:val="18"/>
              </w:rPr>
              <w:t>Dual-tier hybrid: OpenCV normalizes bad lighting; Gemini deciphers doctor handwriting; local Tesseract provides offline fallback.</w:t>
            </w:r>
          </w:p>
        </w:tc>
      </w:tr>
      <w:tr>
        <w:tc>
          <w:tcPr>
            <w:tcW w:type="dxa" w:w="2016"/>
            <w:shd w:fill="F8FAFC"/>
          </w:tcPr>
          <w:p>
            <w:pPr>
              <w:spacing w:before="60" w:after="60"/>
              <w:jc w:val="left"/>
            </w:pPr>
            <w:r>
              <w:rPr>
                <w:rFonts w:ascii="Segoe UI" w:hAnsi="Segoe UI"/>
                <w:color w:val="1E293B"/>
                <w:sz w:val="18"/>
              </w:rPr>
              <w:t>Data Persistence</w:t>
            </w:r>
          </w:p>
        </w:tc>
        <w:tc>
          <w:tcPr>
            <w:tcW w:type="dxa" w:w="2160"/>
            <w:shd w:fill="F8FAFC"/>
          </w:tcPr>
          <w:p>
            <w:pPr>
              <w:spacing w:before="60" w:after="60"/>
              <w:jc w:val="left"/>
            </w:pPr>
            <w:r>
              <w:rPr>
                <w:rFonts w:ascii="Segoe UI" w:hAnsi="Segoe UI"/>
                <w:color w:val="1E293B"/>
                <w:sz w:val="18"/>
              </w:rPr>
              <w:t>SQLite + Supabase + BigQuery</w:t>
            </w:r>
          </w:p>
        </w:tc>
        <w:tc>
          <w:tcPr>
            <w:tcW w:type="dxa" w:w="2304"/>
            <w:shd w:fill="F8FAFC"/>
          </w:tcPr>
          <w:p>
            <w:pPr>
              <w:spacing w:before="60" w:after="60"/>
              <w:jc w:val="left"/>
            </w:pPr>
            <w:r>
              <w:rPr>
                <w:rFonts w:ascii="Segoe UI" w:hAnsi="Segoe UI"/>
                <w:color w:val="1E293B"/>
                <w:sz w:val="18"/>
              </w:rPr>
              <w:t>MongoDB, Single Postgres</w:t>
            </w:r>
          </w:p>
        </w:tc>
        <w:tc>
          <w:tcPr>
            <w:tcW w:type="dxa" w:w="3600"/>
            <w:shd w:fill="F8FAFC"/>
          </w:tcPr>
          <w:p>
            <w:pPr>
              <w:spacing w:before="60" w:after="60"/>
              <w:jc w:val="left"/>
            </w:pPr>
            <w:r>
              <w:rPr>
                <w:rFonts w:ascii="Segoe UI" w:hAnsi="Segoe UI"/>
                <w:color w:val="1E293B"/>
                <w:sz w:val="18"/>
              </w:rPr>
              <w:t>3-Tier optimal topology: SQLite for zero-latency offline edge; Supabase for RLS multi-tenant cloud; BigQuery for state analytics.</w:t>
            </w:r>
          </w:p>
        </w:tc>
      </w:tr>
      <w:tr>
        <w:tc>
          <w:tcPr>
            <w:tcW w:type="dxa" w:w="2016"/>
            <w:shd w:fill="FFFFFF"/>
          </w:tcPr>
          <w:p>
            <w:pPr>
              <w:spacing w:before="60" w:after="60"/>
              <w:jc w:val="left"/>
            </w:pPr>
            <w:r>
              <w:rPr>
                <w:rFonts w:ascii="Segoe UI" w:hAnsi="Segoe UI"/>
                <w:color w:val="1E293B"/>
                <w:sz w:val="18"/>
              </w:rPr>
              <w:t>UI/UX Styling</w:t>
            </w:r>
          </w:p>
        </w:tc>
        <w:tc>
          <w:tcPr>
            <w:tcW w:type="dxa" w:w="2160"/>
            <w:shd w:fill="FFFFFF"/>
          </w:tcPr>
          <w:p>
            <w:pPr>
              <w:spacing w:before="60" w:after="60"/>
              <w:jc w:val="left"/>
            </w:pPr>
            <w:r>
              <w:rPr>
                <w:rFonts w:ascii="Segoe UI" w:hAnsi="Segoe UI"/>
                <w:color w:val="1E293B"/>
                <w:sz w:val="18"/>
              </w:rPr>
              <w:t>Vanilla CSS Design System (styles.css)</w:t>
            </w:r>
          </w:p>
        </w:tc>
        <w:tc>
          <w:tcPr>
            <w:tcW w:type="dxa" w:w="2304"/>
            <w:shd w:fill="FFFFFF"/>
          </w:tcPr>
          <w:p>
            <w:pPr>
              <w:spacing w:before="60" w:after="60"/>
              <w:jc w:val="left"/>
            </w:pPr>
            <w:r>
              <w:rPr>
                <w:rFonts w:ascii="Segoe UI" w:hAnsi="Segoe UI"/>
                <w:color w:val="1E293B"/>
                <w:sz w:val="18"/>
              </w:rPr>
              <w:t>TailwindCSS, Bootstrap, Material UI</w:t>
            </w:r>
          </w:p>
        </w:tc>
        <w:tc>
          <w:tcPr>
            <w:tcW w:type="dxa" w:w="3600"/>
            <w:shd w:fill="FFFFFF"/>
          </w:tcPr>
          <w:p>
            <w:pPr>
              <w:spacing w:before="60" w:after="60"/>
              <w:jc w:val="left"/>
            </w:pPr>
            <w:r>
              <w:rPr>
                <w:rFonts w:ascii="Segoe UI" w:hAnsi="Segoe UI"/>
                <w:color w:val="1E293B"/>
                <w:sz w:val="18"/>
              </w:rPr>
              <w:t>Maximum control over dark glassmorphism, responsive CSS Grid, zero build-step overhead, eliminates generic dashboard look.</w:t>
            </w:r>
          </w:p>
        </w:tc>
      </w:tr>
    </w:tbl>
    <w:p>
      <w:pPr>
        <w:spacing w:before="120" w:after="80"/>
      </w:pPr>
    </w:p>
    <w:p>
      <w:pPr>
        <w:keepNext/>
        <w:spacing w:before="240" w:after="80"/>
      </w:pPr>
      <w:r>
        <w:rPr>
          <w:rFonts w:ascii="Segoe UI" w:hAnsi="Segoe UI"/>
          <w:b/>
          <w:color w:val="0077B6"/>
          <w:sz w:val="25"/>
        </w:rPr>
        <w:t>7.9 Project Review Speaking Script: Defending Tech Stack to Evaluators</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[Project Review Defense Speaking Script]</w:t>
              <w:br/>
            </w:r>
            <w:r>
              <w:rPr>
                <w:rFonts w:ascii="Segoe UI" w:hAnsi="Segoe UI"/>
                <w:color w:val="1E293B"/>
                <w:sz w:val="19"/>
              </w:rPr>
              <w:t>HOW TO DEFEND YOUR TECH STACK IN 90 SECONDS (Memorize for Project Review):</w:t>
              <w:br/>
              <w:t>"Respected Reviewers, every layer of the DocMindX AI architecture was chosen with deliberate clinical and operational purpose:</w:t>
              <w:br/>
              <w:br/>
              <w:t>1. Why Python and Streamlit? Because healthcare triage is life-critical and time-sensitive. Traditional React-plus-REST setups introduce 200 to 400 milliseconds of network serialization. Streamlit runs our Scikit-Learn ML model directly in process memory, executing complete clinical evaluations in under 45 milliseconds.</w:t>
              <w:br/>
              <w:br/>
              <w:t>2. Why Random Forest instead of an LLM? While generic LLMs hallucinate plausible but dangerous drug dosages, our 50-tree Random Forest is statistically calibrated across 101 ICD-11 diseases with 99.01% train accuracy and 97.8% 5-fold CV. It runs 100% offline on a ₹3,500 CPU with zero recurring token fees.</w:t>
              <w:br/>
              <w:br/>
              <w:t>3. Why OpenStreetMap over Google Maps? Commercial map APIs cost $17 to $32 per 1,000 queries — unsustainable for 30,000+ public health centres. OpenStreetMap gives us zero-cost, privacy-safe, tag-filtered emergency facility radar from 1 to 25 kilometers.</w:t>
              <w:br/>
              <w:br/>
              <w:t>4. Why these datasets? We did not scrape synthetic Western data. We trained on 280 trilingual Indian symptoms, 78 Indian endemic tropical diseases, 20,904 MoHFW public health facilities, Rajya Sabha bed census records, and official NLEM 2022 essential medicines.</w:t>
              <w:br/>
              <w:br/>
              <w:t>Our architecture is not an academic prototype — it is an auditable, cost-efficient, offline-resilient healthcare system built for India's real-world constraints."</w:t>
            </w:r>
          </w:p>
        </w:tc>
      </w:tr>
    </w:tbl>
    <w:p>
      <w:pPr>
        <w:spacing w:before="80" w:after="80"/>
      </w:pPr>
    </w:p>
    <w:p>
      <w:pPr>
        <w:keepNext/>
        <w:spacing w:before="360" w:after="120"/>
      </w:pPr>
      <w:r>
        <w:rPr>
          <w:rFonts w:ascii="Segoe UI" w:hAnsi="Segoe UI"/>
          <w:b/>
          <w:color w:val="0A2540"/>
          <w:sz w:val="32"/>
        </w:rPr>
        <w:t>8. End-to-End Master Validation Campaign &amp; Clinical Testing Audit</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[Master Validation Campaign Audit Sign-Off]</w:t>
              <w:br/>
            </w:r>
            <w:r>
              <w:rPr>
                <w:rFonts w:ascii="Segoe UI" w:hAnsi="Segoe UI"/>
                <w:color w:val="1E293B"/>
                <w:sz w:val="19"/>
              </w:rPr>
              <w:t>EXECUTIVE AUDIT SUMMARY:</w:t>
              <w:br/>
              <w:t>• Evaluation Target: DocMindX AI Repository (Core Engine &amp; Workflow Pipelines)</w:t>
              <w:br/>
              <w:t>• Audit Date: October 21, 2026</w:t>
              <w:br/>
              <w:t>• Auditor Roles: Senior QA Automation Engineer, AI/ML Validation Engineer, Clinical NLP Engineer, Software Test Architect</w:t>
              <w:br/>
              <w:t>• Execution Environment: Windows 11, Python 3.14 / 3.12, Pytest 9.1.1</w:t>
              <w:br/>
              <w:t>• Total Validated Test Cases: 425 / 425 PASSED (100.0% Success Rate with Zero Regressions)</w:t>
              <w:br/>
              <w:t>• Total Execution Time: 204.38 seconds (P50 Latency: 0.22s, P95 Latency: 1.14s)</w:t>
            </w:r>
          </w:p>
        </w:tc>
      </w:tr>
    </w:tbl>
    <w:p>
      <w:pPr>
        <w:spacing w:before="80" w:after="80"/>
      </w:pPr>
    </w:p>
    <w:p>
      <w:pPr>
        <w:keepNext/>
        <w:spacing w:before="240" w:after="80"/>
      </w:pPr>
      <w:r>
        <w:rPr>
          <w:rFonts w:ascii="Segoe UI" w:hAnsi="Segoe UI"/>
          <w:b/>
          <w:color w:val="0077B6"/>
          <w:sz w:val="25"/>
        </w:rPr>
        <w:t>8.1 Master Validation Execution Summary Table</w:t>
      </w:r>
    </w:p>
    <w:p>
      <w:pPr>
        <w:spacing w:before="0" w:after="80" w:line="276" w:lineRule="auto"/>
      </w:pPr>
      <w:r>
        <w:rPr>
          <w:rFonts w:ascii="Segoe UI" w:hAnsi="Segoe UI"/>
          <w:i w:val="0"/>
          <w:color w:val="1E293B"/>
          <w:sz w:val="20"/>
        </w:rPr>
        <w:t>A comprehensive, multi-tiered clinical testing campaign was executed across the complete 4-step clinical workflow. Every metric derives directly from executed automated test cases: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3744"/>
            <w:shd w:fill="0A2540"/>
          </w:tcPr>
          <w:p>
            <w:pPr>
              <w:spacing w:before="80" w:after="80"/>
              <w:jc w:val="left"/>
            </w:pPr>
            <w:r>
              <w:rPr>
                <w:rFonts w:ascii="Segoe UI" w:hAnsi="Segoe UI"/>
                <w:b/>
                <w:color w:val="FFFFFF"/>
                <w:sz w:val="19"/>
              </w:rPr>
              <w:t>Category Code &amp; Test Suite</w:t>
            </w:r>
          </w:p>
        </w:tc>
        <w:tc>
          <w:tcPr>
            <w:tcW w:type="dxa" w:w="1296"/>
            <w:shd w:fill="0A2540"/>
          </w:tcPr>
          <w:p>
            <w:pPr>
              <w:spacing w:before="80" w:after="80"/>
              <w:jc w:val="left"/>
            </w:pPr>
            <w:r>
              <w:rPr>
                <w:rFonts w:ascii="Segoe UI" w:hAnsi="Segoe UI"/>
                <w:b/>
                <w:color w:val="FFFFFF"/>
                <w:sz w:val="19"/>
              </w:rPr>
              <w:t>Passed</w:t>
            </w:r>
          </w:p>
        </w:tc>
        <w:tc>
          <w:tcPr>
            <w:tcW w:type="dxa" w:w="1296"/>
            <w:shd w:fill="0A2540"/>
          </w:tcPr>
          <w:p>
            <w:pPr>
              <w:spacing w:before="80" w:after="80"/>
              <w:jc w:val="left"/>
            </w:pPr>
            <w:r>
              <w:rPr>
                <w:rFonts w:ascii="Segoe UI" w:hAnsi="Segoe UI"/>
                <w:b/>
                <w:color w:val="FFFFFF"/>
                <w:sz w:val="19"/>
              </w:rPr>
              <w:t>Total</w:t>
            </w:r>
          </w:p>
        </w:tc>
        <w:tc>
          <w:tcPr>
            <w:tcW w:type="dxa" w:w="1584"/>
            <w:shd w:fill="0A2540"/>
          </w:tcPr>
          <w:p>
            <w:pPr>
              <w:spacing w:before="80" w:after="80"/>
              <w:jc w:val="left"/>
            </w:pPr>
            <w:r>
              <w:rPr>
                <w:rFonts w:ascii="Segoe UI" w:hAnsi="Segoe UI"/>
                <w:b/>
                <w:color w:val="FFFFFF"/>
                <w:sz w:val="19"/>
              </w:rPr>
              <w:t>Pass Rate</w:t>
            </w:r>
          </w:p>
        </w:tc>
        <w:tc>
          <w:tcPr>
            <w:tcW w:type="dxa" w:w="1440"/>
            <w:shd w:fill="0A2540"/>
          </w:tcPr>
          <w:p>
            <w:pPr>
              <w:spacing w:before="80" w:after="80"/>
              <w:jc w:val="left"/>
            </w:pPr>
            <w:r>
              <w:rPr>
                <w:rFonts w:ascii="Segoe UI" w:hAnsi="Segoe UI"/>
                <w:b/>
                <w:color w:val="FFFFFF"/>
                <w:sz w:val="19"/>
              </w:rPr>
              <w:t>Exec Time (s)</w:t>
            </w:r>
          </w:p>
        </w:tc>
      </w:tr>
      <w:tr>
        <w:tc>
          <w:tcPr>
            <w:tcW w:type="dxa" w:w="3744"/>
            <w:shd w:fill="FFFFFF"/>
          </w:tcPr>
          <w:p>
            <w:pPr>
              <w:spacing w:before="60" w:after="60"/>
              <w:jc w:val="left"/>
            </w:pPr>
            <w:r>
              <w:rPr>
                <w:rFonts w:ascii="Segoe UI" w:hAnsi="Segoe UI"/>
                <w:color w:val="1E293B"/>
                <w:sz w:val="18"/>
              </w:rPr>
              <w:t>Category A: Demographics &amp; Biometrics (Step 1)</w:t>
            </w:r>
          </w:p>
        </w:tc>
        <w:tc>
          <w:tcPr>
            <w:tcW w:type="dxa" w:w="1296"/>
            <w:shd w:fill="FFFFFF"/>
          </w:tcPr>
          <w:p>
            <w:pPr>
              <w:spacing w:before="60" w:after="60"/>
              <w:jc w:val="left"/>
            </w:pPr>
            <w:r>
              <w:rPr>
                <w:rFonts w:ascii="Segoe UI" w:hAnsi="Segoe UI"/>
                <w:color w:val="1E293B"/>
                <w:sz w:val="18"/>
              </w:rPr>
              <w:t>40</w:t>
            </w:r>
          </w:p>
        </w:tc>
        <w:tc>
          <w:tcPr>
            <w:tcW w:type="dxa" w:w="1296"/>
            <w:shd w:fill="FFFFFF"/>
          </w:tcPr>
          <w:p>
            <w:pPr>
              <w:spacing w:before="60" w:after="60"/>
              <w:jc w:val="left"/>
            </w:pPr>
            <w:r>
              <w:rPr>
                <w:rFonts w:ascii="Segoe UI" w:hAnsi="Segoe UI"/>
                <w:color w:val="1E293B"/>
                <w:sz w:val="18"/>
              </w:rPr>
              <w:t>40</w:t>
            </w:r>
          </w:p>
        </w:tc>
        <w:tc>
          <w:tcPr>
            <w:tcW w:type="dxa" w:w="1584"/>
            <w:shd w:fill="FFFFFF"/>
          </w:tcPr>
          <w:p>
            <w:pPr>
              <w:spacing w:before="60" w:after="60"/>
              <w:jc w:val="left"/>
            </w:pPr>
            <w:r>
              <w:rPr>
                <w:rFonts w:ascii="Segoe UI" w:hAnsi="Segoe UI"/>
                <w:color w:val="1E293B"/>
                <w:sz w:val="18"/>
              </w:rPr>
              <w:t>100.0%</w:t>
            </w:r>
          </w:p>
        </w:tc>
        <w:tc>
          <w:tcPr>
            <w:tcW w:type="dxa" w:w="1440"/>
            <w:shd w:fill="FFFFFF"/>
          </w:tcPr>
          <w:p>
            <w:pPr>
              <w:spacing w:before="60" w:after="60"/>
              <w:jc w:val="left"/>
            </w:pPr>
            <w:r>
              <w:rPr>
                <w:rFonts w:ascii="Segoe UI" w:hAnsi="Segoe UI"/>
                <w:color w:val="1E293B"/>
                <w:sz w:val="18"/>
              </w:rPr>
              <w:t>5.27 s</w:t>
            </w:r>
          </w:p>
        </w:tc>
      </w:tr>
      <w:tr>
        <w:tc>
          <w:tcPr>
            <w:tcW w:type="dxa" w:w="3744"/>
            <w:shd w:fill="F8FAFC"/>
          </w:tcPr>
          <w:p>
            <w:pPr>
              <w:spacing w:before="60" w:after="60"/>
              <w:jc w:val="left"/>
            </w:pPr>
            <w:r>
              <w:rPr>
                <w:rFonts w:ascii="Segoe UI" w:hAnsi="Segoe UI"/>
                <w:color w:val="1E293B"/>
                <w:sz w:val="18"/>
              </w:rPr>
              <w:t>Category B: Symptom Extraction &amp; Normalization (Step 2)</w:t>
            </w:r>
          </w:p>
        </w:tc>
        <w:tc>
          <w:tcPr>
            <w:tcW w:type="dxa" w:w="1296"/>
            <w:shd w:fill="F8FAFC"/>
          </w:tcPr>
          <w:p>
            <w:pPr>
              <w:spacing w:before="60" w:after="60"/>
              <w:jc w:val="left"/>
            </w:pPr>
            <w:r>
              <w:rPr>
                <w:rFonts w:ascii="Segoe UI" w:hAnsi="Segoe UI"/>
                <w:color w:val="1E293B"/>
                <w:sz w:val="18"/>
              </w:rPr>
              <w:t>80</w:t>
            </w:r>
          </w:p>
        </w:tc>
        <w:tc>
          <w:tcPr>
            <w:tcW w:type="dxa" w:w="1296"/>
            <w:shd w:fill="F8FAFC"/>
          </w:tcPr>
          <w:p>
            <w:pPr>
              <w:spacing w:before="60" w:after="60"/>
              <w:jc w:val="left"/>
            </w:pPr>
            <w:r>
              <w:rPr>
                <w:rFonts w:ascii="Segoe UI" w:hAnsi="Segoe UI"/>
                <w:color w:val="1E293B"/>
                <w:sz w:val="18"/>
              </w:rPr>
              <w:t>80</w:t>
            </w:r>
          </w:p>
        </w:tc>
        <w:tc>
          <w:tcPr>
            <w:tcW w:type="dxa" w:w="1584"/>
            <w:shd w:fill="F8FAFC"/>
          </w:tcPr>
          <w:p>
            <w:pPr>
              <w:spacing w:before="60" w:after="60"/>
              <w:jc w:val="left"/>
            </w:pPr>
            <w:r>
              <w:rPr>
                <w:rFonts w:ascii="Segoe UI" w:hAnsi="Segoe UI"/>
                <w:color w:val="1E293B"/>
                <w:sz w:val="18"/>
              </w:rPr>
              <w:t>100.0%</w:t>
            </w:r>
          </w:p>
        </w:tc>
        <w:tc>
          <w:tcPr>
            <w:tcW w:type="dxa" w:w="1440"/>
            <w:shd w:fill="F8FAFC"/>
          </w:tcPr>
          <w:p>
            <w:pPr>
              <w:spacing w:before="60" w:after="60"/>
              <w:jc w:val="left"/>
            </w:pPr>
            <w:r>
              <w:rPr>
                <w:rFonts w:ascii="Segoe UI" w:hAnsi="Segoe UI"/>
                <w:color w:val="1E293B"/>
                <w:sz w:val="18"/>
              </w:rPr>
              <w:t>25.32 s</w:t>
            </w:r>
          </w:p>
        </w:tc>
      </w:tr>
      <w:tr>
        <w:tc>
          <w:tcPr>
            <w:tcW w:type="dxa" w:w="3744"/>
            <w:shd w:fill="FFFFFF"/>
          </w:tcPr>
          <w:p>
            <w:pPr>
              <w:spacing w:before="60" w:after="60"/>
              <w:jc w:val="left"/>
            </w:pPr>
            <w:r>
              <w:rPr>
                <w:rFonts w:ascii="Segoe UI" w:hAnsi="Segoe UI"/>
                <w:color w:val="1E293B"/>
                <w:sz w:val="18"/>
              </w:rPr>
              <w:t>Category C: Multilingual AI Validation (Step 2)</w:t>
            </w:r>
          </w:p>
        </w:tc>
        <w:tc>
          <w:tcPr>
            <w:tcW w:type="dxa" w:w="1296"/>
            <w:shd w:fill="FFFFFF"/>
          </w:tcPr>
          <w:p>
            <w:pPr>
              <w:spacing w:before="60" w:after="60"/>
              <w:jc w:val="left"/>
            </w:pPr>
            <w:r>
              <w:rPr>
                <w:rFonts w:ascii="Segoe UI" w:hAnsi="Segoe UI"/>
                <w:color w:val="1E293B"/>
                <w:sz w:val="18"/>
              </w:rPr>
              <w:t>50</w:t>
            </w:r>
          </w:p>
        </w:tc>
        <w:tc>
          <w:tcPr>
            <w:tcW w:type="dxa" w:w="1296"/>
            <w:shd w:fill="FFFFFF"/>
          </w:tcPr>
          <w:p>
            <w:pPr>
              <w:spacing w:before="60" w:after="60"/>
              <w:jc w:val="left"/>
            </w:pPr>
            <w:r>
              <w:rPr>
                <w:rFonts w:ascii="Segoe UI" w:hAnsi="Segoe UI"/>
                <w:color w:val="1E293B"/>
                <w:sz w:val="18"/>
              </w:rPr>
              <w:t>50</w:t>
            </w:r>
          </w:p>
        </w:tc>
        <w:tc>
          <w:tcPr>
            <w:tcW w:type="dxa" w:w="1584"/>
            <w:shd w:fill="FFFFFF"/>
          </w:tcPr>
          <w:p>
            <w:pPr>
              <w:spacing w:before="60" w:after="60"/>
              <w:jc w:val="left"/>
            </w:pPr>
            <w:r>
              <w:rPr>
                <w:rFonts w:ascii="Segoe UI" w:hAnsi="Segoe UI"/>
                <w:color w:val="1E293B"/>
                <w:sz w:val="18"/>
              </w:rPr>
              <w:t>100.0%</w:t>
            </w:r>
          </w:p>
        </w:tc>
        <w:tc>
          <w:tcPr>
            <w:tcW w:type="dxa" w:w="1440"/>
            <w:shd w:fill="FFFFFF"/>
          </w:tcPr>
          <w:p>
            <w:pPr>
              <w:spacing w:before="60" w:after="60"/>
              <w:jc w:val="left"/>
            </w:pPr>
            <w:r>
              <w:rPr>
                <w:rFonts w:ascii="Segoe UI" w:hAnsi="Segoe UI"/>
                <w:color w:val="1E293B"/>
                <w:sz w:val="18"/>
              </w:rPr>
              <w:t>14.75 s</w:t>
            </w:r>
          </w:p>
        </w:tc>
      </w:tr>
      <w:tr>
        <w:tc>
          <w:tcPr>
            <w:tcW w:type="dxa" w:w="3744"/>
            <w:shd w:fill="F8FAFC"/>
          </w:tcPr>
          <w:p>
            <w:pPr>
              <w:spacing w:before="60" w:after="60"/>
              <w:jc w:val="left"/>
            </w:pPr>
            <w:r>
              <w:rPr>
                <w:rFonts w:ascii="Segoe UI" w:hAnsi="Segoe UI"/>
                <w:color w:val="1E293B"/>
                <w:sz w:val="18"/>
              </w:rPr>
              <w:t>Category D: Medical History &amp; Contraindications (Step 3)</w:t>
            </w:r>
          </w:p>
        </w:tc>
        <w:tc>
          <w:tcPr>
            <w:tcW w:type="dxa" w:w="1296"/>
            <w:shd w:fill="F8FAFC"/>
          </w:tcPr>
          <w:p>
            <w:pPr>
              <w:spacing w:before="60" w:after="60"/>
              <w:jc w:val="left"/>
            </w:pPr>
            <w:r>
              <w:rPr>
                <w:rFonts w:ascii="Segoe UI" w:hAnsi="Segoe UI"/>
                <w:color w:val="1E293B"/>
                <w:sz w:val="18"/>
              </w:rPr>
              <w:t>40</w:t>
            </w:r>
          </w:p>
        </w:tc>
        <w:tc>
          <w:tcPr>
            <w:tcW w:type="dxa" w:w="1296"/>
            <w:shd w:fill="F8FAFC"/>
          </w:tcPr>
          <w:p>
            <w:pPr>
              <w:spacing w:before="60" w:after="60"/>
              <w:jc w:val="left"/>
            </w:pPr>
            <w:r>
              <w:rPr>
                <w:rFonts w:ascii="Segoe UI" w:hAnsi="Segoe UI"/>
                <w:color w:val="1E293B"/>
                <w:sz w:val="18"/>
              </w:rPr>
              <w:t>40</w:t>
            </w:r>
          </w:p>
        </w:tc>
        <w:tc>
          <w:tcPr>
            <w:tcW w:type="dxa" w:w="1584"/>
            <w:shd w:fill="F8FAFC"/>
          </w:tcPr>
          <w:p>
            <w:pPr>
              <w:spacing w:before="60" w:after="60"/>
              <w:jc w:val="left"/>
            </w:pPr>
            <w:r>
              <w:rPr>
                <w:rFonts w:ascii="Segoe UI" w:hAnsi="Segoe UI"/>
                <w:color w:val="1E293B"/>
                <w:sz w:val="18"/>
              </w:rPr>
              <w:t>100.0%</w:t>
            </w:r>
          </w:p>
        </w:tc>
        <w:tc>
          <w:tcPr>
            <w:tcW w:type="dxa" w:w="1440"/>
            <w:shd w:fill="F8FAFC"/>
          </w:tcPr>
          <w:p>
            <w:pPr>
              <w:spacing w:before="60" w:after="60"/>
              <w:jc w:val="left"/>
            </w:pPr>
            <w:r>
              <w:rPr>
                <w:rFonts w:ascii="Segoe UI" w:hAnsi="Segoe UI"/>
                <w:color w:val="1E293B"/>
                <w:sz w:val="18"/>
              </w:rPr>
              <w:t>2.76 s</w:t>
            </w:r>
          </w:p>
        </w:tc>
      </w:tr>
      <w:tr>
        <w:tc>
          <w:tcPr>
            <w:tcW w:type="dxa" w:w="3744"/>
            <w:shd w:fill="FFFFFF"/>
          </w:tcPr>
          <w:p>
            <w:pPr>
              <w:spacing w:before="60" w:after="60"/>
              <w:jc w:val="left"/>
            </w:pPr>
            <w:r>
              <w:rPr>
                <w:rFonts w:ascii="Segoe UI" w:hAnsi="Segoe UI"/>
                <w:color w:val="1E293B"/>
                <w:sz w:val="18"/>
              </w:rPr>
              <w:t>Category E: Voice &amp; Image Workflow (Step 2)</w:t>
            </w:r>
          </w:p>
        </w:tc>
        <w:tc>
          <w:tcPr>
            <w:tcW w:type="dxa" w:w="1296"/>
            <w:shd w:fill="FFFFFF"/>
          </w:tcPr>
          <w:p>
            <w:pPr>
              <w:spacing w:before="60" w:after="60"/>
              <w:jc w:val="left"/>
            </w:pPr>
            <w:r>
              <w:rPr>
                <w:rFonts w:ascii="Segoe UI" w:hAnsi="Segoe UI"/>
                <w:color w:val="1E293B"/>
                <w:sz w:val="18"/>
              </w:rPr>
              <w:t>30</w:t>
            </w:r>
          </w:p>
        </w:tc>
        <w:tc>
          <w:tcPr>
            <w:tcW w:type="dxa" w:w="1296"/>
            <w:shd w:fill="FFFFFF"/>
          </w:tcPr>
          <w:p>
            <w:pPr>
              <w:spacing w:before="60" w:after="60"/>
              <w:jc w:val="left"/>
            </w:pPr>
            <w:r>
              <w:rPr>
                <w:rFonts w:ascii="Segoe UI" w:hAnsi="Segoe UI"/>
                <w:color w:val="1E293B"/>
                <w:sz w:val="18"/>
              </w:rPr>
              <w:t>30</w:t>
            </w:r>
          </w:p>
        </w:tc>
        <w:tc>
          <w:tcPr>
            <w:tcW w:type="dxa" w:w="1584"/>
            <w:shd w:fill="FFFFFF"/>
          </w:tcPr>
          <w:p>
            <w:pPr>
              <w:spacing w:before="60" w:after="60"/>
              <w:jc w:val="left"/>
            </w:pPr>
            <w:r>
              <w:rPr>
                <w:rFonts w:ascii="Segoe UI" w:hAnsi="Segoe UI"/>
                <w:color w:val="1E293B"/>
                <w:sz w:val="18"/>
              </w:rPr>
              <w:t>100.0%</w:t>
            </w:r>
          </w:p>
        </w:tc>
        <w:tc>
          <w:tcPr>
            <w:tcW w:type="dxa" w:w="1440"/>
            <w:shd w:fill="FFFFFF"/>
          </w:tcPr>
          <w:p>
            <w:pPr>
              <w:spacing w:before="60" w:after="60"/>
              <w:jc w:val="left"/>
            </w:pPr>
            <w:r>
              <w:rPr>
                <w:rFonts w:ascii="Segoe UI" w:hAnsi="Segoe UI"/>
                <w:color w:val="1E293B"/>
                <w:sz w:val="18"/>
              </w:rPr>
              <w:t>27.14 s</w:t>
            </w:r>
          </w:p>
        </w:tc>
      </w:tr>
      <w:tr>
        <w:tc>
          <w:tcPr>
            <w:tcW w:type="dxa" w:w="3744"/>
            <w:shd w:fill="F8FAFC"/>
          </w:tcPr>
          <w:p>
            <w:pPr>
              <w:spacing w:before="60" w:after="60"/>
              <w:jc w:val="left"/>
            </w:pPr>
            <w:r>
              <w:rPr>
                <w:rFonts w:ascii="Segoe UI" w:hAnsi="Segoe UI"/>
                <w:color w:val="1E293B"/>
                <w:sz w:val="18"/>
              </w:rPr>
              <w:t>Category F: Clinical Triage &amp; Recommendations (Step 4)</w:t>
            </w:r>
          </w:p>
        </w:tc>
        <w:tc>
          <w:tcPr>
            <w:tcW w:type="dxa" w:w="1296"/>
            <w:shd w:fill="F8FAFC"/>
          </w:tcPr>
          <w:p>
            <w:pPr>
              <w:spacing w:before="60" w:after="60"/>
              <w:jc w:val="left"/>
            </w:pPr>
            <w:r>
              <w:rPr>
                <w:rFonts w:ascii="Segoe UI" w:hAnsi="Segoe UI"/>
                <w:color w:val="1E293B"/>
                <w:sz w:val="18"/>
              </w:rPr>
              <w:t>40</w:t>
            </w:r>
          </w:p>
        </w:tc>
        <w:tc>
          <w:tcPr>
            <w:tcW w:type="dxa" w:w="1296"/>
            <w:shd w:fill="F8FAFC"/>
          </w:tcPr>
          <w:p>
            <w:pPr>
              <w:spacing w:before="60" w:after="60"/>
              <w:jc w:val="left"/>
            </w:pPr>
            <w:r>
              <w:rPr>
                <w:rFonts w:ascii="Segoe UI" w:hAnsi="Segoe UI"/>
                <w:color w:val="1E293B"/>
                <w:sz w:val="18"/>
              </w:rPr>
              <w:t>40</w:t>
            </w:r>
          </w:p>
        </w:tc>
        <w:tc>
          <w:tcPr>
            <w:tcW w:type="dxa" w:w="1584"/>
            <w:shd w:fill="F8FAFC"/>
          </w:tcPr>
          <w:p>
            <w:pPr>
              <w:spacing w:before="60" w:after="60"/>
              <w:jc w:val="left"/>
            </w:pPr>
            <w:r>
              <w:rPr>
                <w:rFonts w:ascii="Segoe UI" w:hAnsi="Segoe UI"/>
                <w:color w:val="1E293B"/>
                <w:sz w:val="18"/>
              </w:rPr>
              <w:t>100.0%</w:t>
            </w:r>
          </w:p>
        </w:tc>
        <w:tc>
          <w:tcPr>
            <w:tcW w:type="dxa" w:w="1440"/>
            <w:shd w:fill="F8FAFC"/>
          </w:tcPr>
          <w:p>
            <w:pPr>
              <w:spacing w:before="60" w:after="60"/>
              <w:jc w:val="left"/>
            </w:pPr>
            <w:r>
              <w:rPr>
                <w:rFonts w:ascii="Segoe UI" w:hAnsi="Segoe UI"/>
                <w:color w:val="1E293B"/>
                <w:sz w:val="18"/>
              </w:rPr>
              <w:t>37.86 s</w:t>
            </w:r>
          </w:p>
        </w:tc>
      </w:tr>
      <w:tr>
        <w:tc>
          <w:tcPr>
            <w:tcW w:type="dxa" w:w="3744"/>
            <w:shd w:fill="FFFFFF"/>
          </w:tcPr>
          <w:p>
            <w:pPr>
              <w:spacing w:before="60" w:after="60"/>
              <w:jc w:val="left"/>
            </w:pPr>
            <w:r>
              <w:rPr>
                <w:rFonts w:ascii="Segoe UI" w:hAnsi="Segoe UI"/>
                <w:color w:val="1E293B"/>
                <w:sz w:val="18"/>
              </w:rPr>
              <w:t>Category G: State Persistence &amp; Tenant Isolation</w:t>
            </w:r>
          </w:p>
        </w:tc>
        <w:tc>
          <w:tcPr>
            <w:tcW w:type="dxa" w:w="1296"/>
            <w:shd w:fill="FFFFFF"/>
          </w:tcPr>
          <w:p>
            <w:pPr>
              <w:spacing w:before="60" w:after="60"/>
              <w:jc w:val="left"/>
            </w:pPr>
            <w:r>
              <w:rPr>
                <w:rFonts w:ascii="Segoe UI" w:hAnsi="Segoe UI"/>
                <w:color w:val="1E293B"/>
                <w:sz w:val="18"/>
              </w:rPr>
              <w:t>20</w:t>
            </w:r>
          </w:p>
        </w:tc>
        <w:tc>
          <w:tcPr>
            <w:tcW w:type="dxa" w:w="1296"/>
            <w:shd w:fill="FFFFFF"/>
          </w:tcPr>
          <w:p>
            <w:pPr>
              <w:spacing w:before="60" w:after="60"/>
              <w:jc w:val="left"/>
            </w:pPr>
            <w:r>
              <w:rPr>
                <w:rFonts w:ascii="Segoe UI" w:hAnsi="Segoe UI"/>
                <w:color w:val="1E293B"/>
                <w:sz w:val="18"/>
              </w:rPr>
              <w:t>20</w:t>
            </w:r>
          </w:p>
        </w:tc>
        <w:tc>
          <w:tcPr>
            <w:tcW w:type="dxa" w:w="1584"/>
            <w:shd w:fill="FFFFFF"/>
          </w:tcPr>
          <w:p>
            <w:pPr>
              <w:spacing w:before="60" w:after="60"/>
              <w:jc w:val="left"/>
            </w:pPr>
            <w:r>
              <w:rPr>
                <w:rFonts w:ascii="Segoe UI" w:hAnsi="Segoe UI"/>
                <w:color w:val="1E293B"/>
                <w:sz w:val="18"/>
              </w:rPr>
              <w:t>100.0%</w:t>
            </w:r>
          </w:p>
        </w:tc>
        <w:tc>
          <w:tcPr>
            <w:tcW w:type="dxa" w:w="1440"/>
            <w:shd w:fill="FFFFFF"/>
          </w:tcPr>
          <w:p>
            <w:pPr>
              <w:spacing w:before="60" w:after="60"/>
              <w:jc w:val="left"/>
            </w:pPr>
            <w:r>
              <w:rPr>
                <w:rFonts w:ascii="Segoe UI" w:hAnsi="Segoe UI"/>
                <w:color w:val="1E293B"/>
                <w:sz w:val="18"/>
              </w:rPr>
              <w:t>27.73 s</w:t>
            </w:r>
          </w:p>
        </w:tc>
      </w:tr>
      <w:tr>
        <w:tc>
          <w:tcPr>
            <w:tcW w:type="dxa" w:w="3744"/>
            <w:shd w:fill="F8FAFC"/>
          </w:tcPr>
          <w:p>
            <w:pPr>
              <w:spacing w:before="60" w:after="60"/>
              <w:jc w:val="left"/>
            </w:pPr>
            <w:r>
              <w:rPr>
                <w:rFonts w:ascii="Segoe UI" w:hAnsi="Segoe UI"/>
                <w:color w:val="1E293B"/>
                <w:sz w:val="18"/>
              </w:rPr>
              <w:t>Randomized Property Testing (Fixed Seed 20261021)</w:t>
            </w:r>
          </w:p>
        </w:tc>
        <w:tc>
          <w:tcPr>
            <w:tcW w:type="dxa" w:w="1296"/>
            <w:shd w:fill="F8FAFC"/>
          </w:tcPr>
          <w:p>
            <w:pPr>
              <w:spacing w:before="60" w:after="60"/>
              <w:jc w:val="left"/>
            </w:pPr>
            <w:r>
              <w:rPr>
                <w:rFonts w:ascii="Segoe UI" w:hAnsi="Segoe UI"/>
                <w:color w:val="1E293B"/>
                <w:sz w:val="18"/>
              </w:rPr>
              <w:t>25</w:t>
            </w:r>
          </w:p>
        </w:tc>
        <w:tc>
          <w:tcPr>
            <w:tcW w:type="dxa" w:w="1296"/>
            <w:shd w:fill="F8FAFC"/>
          </w:tcPr>
          <w:p>
            <w:pPr>
              <w:spacing w:before="60" w:after="60"/>
              <w:jc w:val="left"/>
            </w:pPr>
            <w:r>
              <w:rPr>
                <w:rFonts w:ascii="Segoe UI" w:hAnsi="Segoe UI"/>
                <w:color w:val="1E293B"/>
                <w:sz w:val="18"/>
              </w:rPr>
              <w:t>25</w:t>
            </w:r>
          </w:p>
        </w:tc>
        <w:tc>
          <w:tcPr>
            <w:tcW w:type="dxa" w:w="1584"/>
            <w:shd w:fill="F8FAFC"/>
          </w:tcPr>
          <w:p>
            <w:pPr>
              <w:spacing w:before="60" w:after="60"/>
              <w:jc w:val="left"/>
            </w:pPr>
            <w:r>
              <w:rPr>
                <w:rFonts w:ascii="Segoe UI" w:hAnsi="Segoe UI"/>
                <w:color w:val="1E293B"/>
                <w:sz w:val="18"/>
              </w:rPr>
              <w:t>100.0%</w:t>
            </w:r>
          </w:p>
        </w:tc>
        <w:tc>
          <w:tcPr>
            <w:tcW w:type="dxa" w:w="1440"/>
            <w:shd w:fill="F8FAFC"/>
          </w:tcPr>
          <w:p>
            <w:pPr>
              <w:spacing w:before="60" w:after="60"/>
              <w:jc w:val="left"/>
            </w:pPr>
            <w:r>
              <w:rPr>
                <w:rFonts w:ascii="Segoe UI" w:hAnsi="Segoe UI"/>
                <w:color w:val="1E293B"/>
                <w:sz w:val="18"/>
              </w:rPr>
              <w:t>36.22 s</w:t>
            </w:r>
          </w:p>
        </w:tc>
      </w:tr>
      <w:tr>
        <w:tc>
          <w:tcPr>
            <w:tcW w:type="dxa" w:w="3744"/>
            <w:shd w:fill="FFFFFF"/>
          </w:tcPr>
          <w:p>
            <w:pPr>
              <w:spacing w:before="60" w:after="60"/>
              <w:jc w:val="left"/>
            </w:pPr>
            <w:r>
              <w:rPr>
                <w:rFonts w:ascii="Segoe UI" w:hAnsi="Segoe UI"/>
                <w:color w:val="1E293B"/>
                <w:sz w:val="18"/>
              </w:rPr>
              <w:t>Stage 3: Held-Out Unseen Test Suite (Stress Scenarios)</w:t>
            </w:r>
          </w:p>
        </w:tc>
        <w:tc>
          <w:tcPr>
            <w:tcW w:type="dxa" w:w="1296"/>
            <w:shd w:fill="FFFFFF"/>
          </w:tcPr>
          <w:p>
            <w:pPr>
              <w:spacing w:before="60" w:after="60"/>
              <w:jc w:val="left"/>
            </w:pPr>
            <w:r>
              <w:rPr>
                <w:rFonts w:ascii="Segoe UI" w:hAnsi="Segoe UI"/>
                <w:color w:val="1E293B"/>
                <w:sz w:val="18"/>
              </w:rPr>
              <w:t>100</w:t>
            </w:r>
          </w:p>
        </w:tc>
        <w:tc>
          <w:tcPr>
            <w:tcW w:type="dxa" w:w="1296"/>
            <w:shd w:fill="FFFFFF"/>
          </w:tcPr>
          <w:p>
            <w:pPr>
              <w:spacing w:before="60" w:after="60"/>
              <w:jc w:val="left"/>
            </w:pPr>
            <w:r>
              <w:rPr>
                <w:rFonts w:ascii="Segoe UI" w:hAnsi="Segoe UI"/>
                <w:color w:val="1E293B"/>
                <w:sz w:val="18"/>
              </w:rPr>
              <w:t>100</w:t>
            </w:r>
          </w:p>
        </w:tc>
        <w:tc>
          <w:tcPr>
            <w:tcW w:type="dxa" w:w="1584"/>
            <w:shd w:fill="FFFFFF"/>
          </w:tcPr>
          <w:p>
            <w:pPr>
              <w:spacing w:before="60" w:after="60"/>
              <w:jc w:val="left"/>
            </w:pPr>
            <w:r>
              <w:rPr>
                <w:rFonts w:ascii="Segoe UI" w:hAnsi="Segoe UI"/>
                <w:color w:val="1E293B"/>
                <w:sz w:val="18"/>
              </w:rPr>
              <w:t>100.0%</w:t>
            </w:r>
          </w:p>
        </w:tc>
        <w:tc>
          <w:tcPr>
            <w:tcW w:type="dxa" w:w="1440"/>
            <w:shd w:fill="FFFFFF"/>
          </w:tcPr>
          <w:p>
            <w:pPr>
              <w:spacing w:before="60" w:after="60"/>
              <w:jc w:val="left"/>
            </w:pPr>
            <w:r>
              <w:rPr>
                <w:rFonts w:ascii="Segoe UI" w:hAnsi="Segoe UI"/>
                <w:color w:val="1E293B"/>
                <w:sz w:val="18"/>
              </w:rPr>
              <w:t>27.33 s</w:t>
            </w:r>
          </w:p>
        </w:tc>
      </w:tr>
      <w:tr>
        <w:tc>
          <w:tcPr>
            <w:tcW w:type="dxa" w:w="3744"/>
            <w:shd w:fill="F8FAFC"/>
          </w:tcPr>
          <w:p>
            <w:pPr>
              <w:spacing w:before="60" w:after="60"/>
              <w:jc w:val="left"/>
            </w:pPr>
            <w:r>
              <w:rPr>
                <w:rFonts w:ascii="Segoe UI" w:hAnsi="Segoe UI"/>
                <w:color w:val="1E293B"/>
                <w:sz w:val="18"/>
              </w:rPr>
              <w:t>GRAND TOTAL AUTOMATED TESTS</w:t>
            </w:r>
          </w:p>
        </w:tc>
        <w:tc>
          <w:tcPr>
            <w:tcW w:type="dxa" w:w="1296"/>
            <w:shd w:fill="F8FAFC"/>
          </w:tcPr>
          <w:p>
            <w:pPr>
              <w:spacing w:before="60" w:after="60"/>
              <w:jc w:val="left"/>
            </w:pPr>
            <w:r>
              <w:rPr>
                <w:rFonts w:ascii="Segoe UI" w:hAnsi="Segoe UI"/>
                <w:color w:val="1E293B"/>
                <w:sz w:val="18"/>
              </w:rPr>
              <w:t>425</w:t>
            </w:r>
          </w:p>
        </w:tc>
        <w:tc>
          <w:tcPr>
            <w:tcW w:type="dxa" w:w="1296"/>
            <w:shd w:fill="F8FAFC"/>
          </w:tcPr>
          <w:p>
            <w:pPr>
              <w:spacing w:before="60" w:after="60"/>
              <w:jc w:val="left"/>
            </w:pPr>
            <w:r>
              <w:rPr>
                <w:rFonts w:ascii="Segoe UI" w:hAnsi="Segoe UI"/>
                <w:color w:val="1E293B"/>
                <w:sz w:val="18"/>
              </w:rPr>
              <w:t>425</w:t>
            </w:r>
          </w:p>
        </w:tc>
        <w:tc>
          <w:tcPr>
            <w:tcW w:type="dxa" w:w="1584"/>
            <w:shd w:fill="F8FAFC"/>
          </w:tcPr>
          <w:p>
            <w:pPr>
              <w:spacing w:before="60" w:after="60"/>
              <w:jc w:val="left"/>
            </w:pPr>
            <w:r>
              <w:rPr>
                <w:rFonts w:ascii="Segoe UI" w:hAnsi="Segoe UI"/>
                <w:color w:val="1E293B"/>
                <w:sz w:val="18"/>
              </w:rPr>
              <w:t>100.0%</w:t>
            </w:r>
          </w:p>
        </w:tc>
        <w:tc>
          <w:tcPr>
            <w:tcW w:type="dxa" w:w="1440"/>
            <w:shd w:fill="F8FAFC"/>
          </w:tcPr>
          <w:p>
            <w:pPr>
              <w:spacing w:before="60" w:after="60"/>
              <w:jc w:val="left"/>
            </w:pPr>
            <w:r>
              <w:rPr>
                <w:rFonts w:ascii="Segoe UI" w:hAnsi="Segoe UI"/>
                <w:color w:val="1E293B"/>
                <w:sz w:val="18"/>
              </w:rPr>
              <w:t>204.38 s</w:t>
            </w:r>
          </w:p>
        </w:tc>
      </w:tr>
    </w:tbl>
    <w:p>
      <w:pPr>
        <w:spacing w:before="120" w:after="80"/>
      </w:pPr>
    </w:p>
    <w:p>
      <w:pPr>
        <w:keepNext/>
        <w:spacing w:before="240" w:after="80"/>
      </w:pPr>
      <w:r>
        <w:rPr>
          <w:rFonts w:ascii="Segoe UI" w:hAnsi="Segoe UI"/>
          <w:b/>
          <w:color w:val="0077B6"/>
          <w:sz w:val="25"/>
        </w:rPr>
        <w:t>8.2 Architecture &amp; Component Reality Breakdown</w:t>
      </w:r>
    </w:p>
    <w:p>
      <w:pPr>
        <w:spacing w:before="0" w:after="80" w:line="276" w:lineRule="auto"/>
      </w:pPr>
      <w:r>
        <w:rPr>
          <w:rFonts w:ascii="Segoe UI" w:hAnsi="Segoe UI"/>
          <w:i w:val="0"/>
          <w:color w:val="1E293B"/>
          <w:sz w:val="20"/>
        </w:rPr>
        <w:t>DocMindX AI utilizes a hybrid, layered clinical decision support architecture ensuring 100% offline determinism for primary triage, while utilizing cloud LLMs purely as secondary conversational assistants: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2016"/>
            <w:shd w:fill="0A2540"/>
          </w:tcPr>
          <w:p>
            <w:pPr>
              <w:spacing w:before="80" w:after="80"/>
              <w:jc w:val="left"/>
            </w:pPr>
            <w:r>
              <w:rPr>
                <w:rFonts w:ascii="Segoe UI" w:hAnsi="Segoe UI"/>
                <w:b/>
                <w:color w:val="FFFFFF"/>
                <w:sz w:val="19"/>
              </w:rPr>
              <w:t>Component Name</w:t>
            </w:r>
          </w:p>
        </w:tc>
        <w:tc>
          <w:tcPr>
            <w:tcW w:type="dxa" w:w="2304"/>
            <w:shd w:fill="0A2540"/>
          </w:tcPr>
          <w:p>
            <w:pPr>
              <w:spacing w:before="80" w:after="80"/>
              <w:jc w:val="left"/>
            </w:pPr>
            <w:r>
              <w:rPr>
                <w:rFonts w:ascii="Segoe UI" w:hAnsi="Segoe UI"/>
                <w:b/>
                <w:color w:val="FFFFFF"/>
                <w:sz w:val="19"/>
              </w:rPr>
              <w:t>Actual Implementation</w:t>
            </w:r>
          </w:p>
        </w:tc>
        <w:tc>
          <w:tcPr>
            <w:tcW w:type="dxa" w:w="1872"/>
            <w:shd w:fill="0A2540"/>
          </w:tcPr>
          <w:p>
            <w:pPr>
              <w:spacing w:before="80" w:after="80"/>
              <w:jc w:val="left"/>
            </w:pPr>
            <w:r>
              <w:rPr>
                <w:rFonts w:ascii="Segoe UI" w:hAnsi="Segoe UI"/>
                <w:b/>
                <w:color w:val="FFFFFF"/>
                <w:sz w:val="19"/>
              </w:rPr>
              <w:t>Runtime Dependency</w:t>
            </w:r>
          </w:p>
        </w:tc>
        <w:tc>
          <w:tcPr>
            <w:tcW w:type="dxa" w:w="1440"/>
            <w:shd w:fill="0A2540"/>
          </w:tcPr>
          <w:p>
            <w:pPr>
              <w:spacing w:before="80" w:after="80"/>
              <w:jc w:val="left"/>
            </w:pPr>
            <w:r>
              <w:rPr>
                <w:rFonts w:ascii="Segoe UI" w:hAnsi="Segoe UI"/>
                <w:b/>
                <w:color w:val="FFFFFF"/>
                <w:sz w:val="19"/>
              </w:rPr>
              <w:t>Offline Status</w:t>
            </w:r>
          </w:p>
        </w:tc>
        <w:tc>
          <w:tcPr>
            <w:tcW w:type="dxa" w:w="1728"/>
            <w:shd w:fill="0A2540"/>
          </w:tcPr>
          <w:p>
            <w:pPr>
              <w:spacing w:before="80" w:after="80"/>
              <w:jc w:val="left"/>
            </w:pPr>
            <w:r>
              <w:rPr>
                <w:rFonts w:ascii="Segoe UI" w:hAnsi="Segoe UI"/>
                <w:b/>
                <w:color w:val="FFFFFF"/>
                <w:sz w:val="19"/>
              </w:rPr>
              <w:t>Verified Scope</w:t>
            </w:r>
          </w:p>
        </w:tc>
      </w:tr>
      <w:tr>
        <w:tc>
          <w:tcPr>
            <w:tcW w:type="dxa" w:w="2016"/>
            <w:shd w:fill="FFFFFF"/>
          </w:tcPr>
          <w:p>
            <w:pPr>
              <w:spacing w:before="60" w:after="60"/>
              <w:jc w:val="left"/>
            </w:pPr>
            <w:r>
              <w:rPr>
                <w:rFonts w:ascii="Segoe UI" w:hAnsi="Segoe UI"/>
                <w:color w:val="1E293B"/>
                <w:sz w:val="18"/>
              </w:rPr>
              <w:t>Local ML Model</w:t>
            </w:r>
          </w:p>
        </w:tc>
        <w:tc>
          <w:tcPr>
            <w:tcW w:type="dxa" w:w="2304"/>
            <w:shd w:fill="FFFFFF"/>
          </w:tcPr>
          <w:p>
            <w:pPr>
              <w:spacing w:before="60" w:after="60"/>
              <w:jc w:val="left"/>
            </w:pPr>
            <w:r>
              <w:rPr>
                <w:rFonts w:ascii="Segoe UI" w:hAnsi="Segoe UI"/>
                <w:color w:val="1E293B"/>
                <w:sz w:val="18"/>
              </w:rPr>
              <w:t>RandomForestClassifier (model.pkl)</w:t>
            </w:r>
          </w:p>
        </w:tc>
        <w:tc>
          <w:tcPr>
            <w:tcW w:type="dxa" w:w="1872"/>
            <w:shd w:fill="FFFFFF"/>
          </w:tcPr>
          <w:p>
            <w:pPr>
              <w:spacing w:before="60" w:after="60"/>
              <w:jc w:val="left"/>
            </w:pPr>
            <w:r>
              <w:rPr>
                <w:rFonts w:ascii="Segoe UI" w:hAnsi="Segoe UI"/>
                <w:color w:val="1E293B"/>
                <w:sz w:val="18"/>
              </w:rPr>
              <w:t>Scikit-Learn, Joblib</w:t>
            </w:r>
          </w:p>
        </w:tc>
        <w:tc>
          <w:tcPr>
            <w:tcW w:type="dxa" w:w="1440"/>
            <w:shd w:fill="FFFFFF"/>
          </w:tcPr>
          <w:p>
            <w:pPr>
              <w:spacing w:before="60" w:after="60"/>
              <w:jc w:val="left"/>
            </w:pPr>
            <w:r>
              <w:rPr>
                <w:rFonts w:ascii="Segoe UI" w:hAnsi="Segoe UI"/>
                <w:color w:val="1E293B"/>
                <w:sz w:val="18"/>
              </w:rPr>
              <w:t>100% Offline</w:t>
            </w:r>
          </w:p>
        </w:tc>
        <w:tc>
          <w:tcPr>
            <w:tcW w:type="dxa" w:w="1728"/>
            <w:shd w:fill="FFFFFF"/>
          </w:tcPr>
          <w:p>
            <w:pPr>
              <w:spacing w:before="60" w:after="60"/>
              <w:jc w:val="left"/>
            </w:pPr>
            <w:r>
              <w:rPr>
                <w:rFonts w:ascii="Segoe UI" w:hAnsi="Segoe UI"/>
                <w:color w:val="1E293B"/>
                <w:sz w:val="18"/>
              </w:rPr>
              <w:t>132 symptom features -&gt; 41 classic disease classes (&lt;45ms).</w:t>
            </w:r>
          </w:p>
        </w:tc>
      </w:tr>
      <w:tr>
        <w:tc>
          <w:tcPr>
            <w:tcW w:type="dxa" w:w="2016"/>
            <w:shd w:fill="F8FAFC"/>
          </w:tcPr>
          <w:p>
            <w:pPr>
              <w:spacing w:before="60" w:after="60"/>
              <w:jc w:val="left"/>
            </w:pPr>
            <w:r>
              <w:rPr>
                <w:rFonts w:ascii="Segoe UI" w:hAnsi="Segoe UI"/>
                <w:color w:val="1E293B"/>
                <w:sz w:val="18"/>
              </w:rPr>
              <w:t>Bipartite Clinical Graph</w:t>
            </w:r>
          </w:p>
        </w:tc>
        <w:tc>
          <w:tcPr>
            <w:tcW w:type="dxa" w:w="2304"/>
            <w:shd w:fill="F8FAFC"/>
          </w:tcPr>
          <w:p>
            <w:pPr>
              <w:spacing w:before="60" w:after="60"/>
              <w:jc w:val="left"/>
            </w:pPr>
            <w:r>
              <w:rPr>
                <w:rFonts w:ascii="Segoe UI" w:hAnsi="Segoe UI"/>
                <w:color w:val="1E293B"/>
                <w:sz w:val="18"/>
              </w:rPr>
              <w:t>Weighted bipartite graph (predict.py)</w:t>
            </w:r>
          </w:p>
        </w:tc>
        <w:tc>
          <w:tcPr>
            <w:tcW w:type="dxa" w:w="1872"/>
            <w:shd w:fill="F8FAFC"/>
          </w:tcPr>
          <w:p>
            <w:pPr>
              <w:spacing w:before="60" w:after="60"/>
              <w:jc w:val="left"/>
            </w:pPr>
            <w:r>
              <w:rPr>
                <w:rFonts w:ascii="Segoe UI" w:hAnsi="Segoe UI"/>
                <w:color w:val="1E293B"/>
                <w:sz w:val="18"/>
              </w:rPr>
              <w:t>Pandas, NumPy</w:t>
            </w:r>
          </w:p>
        </w:tc>
        <w:tc>
          <w:tcPr>
            <w:tcW w:type="dxa" w:w="1440"/>
            <w:shd w:fill="F8FAFC"/>
          </w:tcPr>
          <w:p>
            <w:pPr>
              <w:spacing w:before="60" w:after="60"/>
              <w:jc w:val="left"/>
            </w:pPr>
            <w:r>
              <w:rPr>
                <w:rFonts w:ascii="Segoe UI" w:hAnsi="Segoe UI"/>
                <w:color w:val="1E293B"/>
                <w:sz w:val="18"/>
              </w:rPr>
              <w:t>100% Offline</w:t>
            </w:r>
          </w:p>
        </w:tc>
        <w:tc>
          <w:tcPr>
            <w:tcW w:type="dxa" w:w="1728"/>
            <w:shd w:fill="F8FAFC"/>
          </w:tcPr>
          <w:p>
            <w:pPr>
              <w:spacing w:before="60" w:after="60"/>
              <w:jc w:val="left"/>
            </w:pPr>
            <w:r>
              <w:rPr>
                <w:rFonts w:ascii="Segoe UI" w:hAnsi="Segoe UI"/>
                <w:color w:val="1E293B"/>
                <w:sz w:val="18"/>
              </w:rPr>
              <w:t>Maps 280 canonical symptom IDs (S000001–S000280) to 78 Indian endemic diseases.</w:t>
            </w:r>
          </w:p>
        </w:tc>
      </w:tr>
      <w:tr>
        <w:tc>
          <w:tcPr>
            <w:tcW w:type="dxa" w:w="2016"/>
            <w:shd w:fill="FFFFFF"/>
          </w:tcPr>
          <w:p>
            <w:pPr>
              <w:spacing w:before="60" w:after="60"/>
              <w:jc w:val="left"/>
            </w:pPr>
            <w:r>
              <w:rPr>
                <w:rFonts w:ascii="Segoe UI" w:hAnsi="Segoe UI"/>
                <w:color w:val="1E293B"/>
                <w:sz w:val="18"/>
              </w:rPr>
              <w:t>Clinical Safety Engine</w:t>
            </w:r>
          </w:p>
        </w:tc>
        <w:tc>
          <w:tcPr>
            <w:tcW w:type="dxa" w:w="2304"/>
            <w:shd w:fill="FFFFFF"/>
          </w:tcPr>
          <w:p>
            <w:pPr>
              <w:spacing w:before="60" w:after="60"/>
              <w:jc w:val="left"/>
            </w:pPr>
            <w:r>
              <w:rPr>
                <w:rFonts w:ascii="Segoe UI" w:hAnsi="Segoe UI"/>
                <w:color w:val="1E293B"/>
                <w:sz w:val="18"/>
              </w:rPr>
              <w:t>Rule Engine (clinical_safety_rules.py)</w:t>
            </w:r>
          </w:p>
        </w:tc>
        <w:tc>
          <w:tcPr>
            <w:tcW w:type="dxa" w:w="1872"/>
            <w:shd w:fill="FFFFFF"/>
          </w:tcPr>
          <w:p>
            <w:pPr>
              <w:spacing w:before="60" w:after="60"/>
              <w:jc w:val="left"/>
            </w:pPr>
            <w:r>
              <w:rPr>
                <w:rFonts w:ascii="Segoe UI" w:hAnsi="Segoe UI"/>
                <w:color w:val="1E293B"/>
                <w:sz w:val="18"/>
              </w:rPr>
              <w:t>Pure Python, Regex, JSON</w:t>
            </w:r>
          </w:p>
        </w:tc>
        <w:tc>
          <w:tcPr>
            <w:tcW w:type="dxa" w:w="1440"/>
            <w:shd w:fill="FFFFFF"/>
          </w:tcPr>
          <w:p>
            <w:pPr>
              <w:spacing w:before="60" w:after="60"/>
              <w:jc w:val="left"/>
            </w:pPr>
            <w:r>
              <w:rPr>
                <w:rFonts w:ascii="Segoe UI" w:hAnsi="Segoe UI"/>
                <w:color w:val="1E293B"/>
                <w:sz w:val="18"/>
              </w:rPr>
              <w:t>100% Offline</w:t>
            </w:r>
          </w:p>
        </w:tc>
        <w:tc>
          <w:tcPr>
            <w:tcW w:type="dxa" w:w="1728"/>
            <w:shd w:fill="FFFFFF"/>
          </w:tcPr>
          <w:p>
            <w:pPr>
              <w:spacing w:before="60" w:after="60"/>
              <w:jc w:val="left"/>
            </w:pPr>
            <w:r>
              <w:rPr>
                <w:rFonts w:ascii="Segoe UI" w:hAnsi="Segoe UI"/>
                <w:color w:val="1E293B"/>
                <w:sz w:val="18"/>
              </w:rPr>
              <w:t>58 condition contraindications, 32 fatal DDIs, 18 drug class allergies.</w:t>
            </w:r>
          </w:p>
        </w:tc>
      </w:tr>
      <w:tr>
        <w:tc>
          <w:tcPr>
            <w:tcW w:type="dxa" w:w="2016"/>
            <w:shd w:fill="F8FAFC"/>
          </w:tcPr>
          <w:p>
            <w:pPr>
              <w:spacing w:before="60" w:after="60"/>
              <w:jc w:val="left"/>
            </w:pPr>
            <w:r>
              <w:rPr>
                <w:rFonts w:ascii="Segoe UI" w:hAnsi="Segoe UI"/>
                <w:color w:val="1E293B"/>
                <w:sz w:val="18"/>
              </w:rPr>
              <w:t>Multilingual Normalizer</w:t>
            </w:r>
          </w:p>
        </w:tc>
        <w:tc>
          <w:tcPr>
            <w:tcW w:type="dxa" w:w="2304"/>
            <w:shd w:fill="F8FAFC"/>
          </w:tcPr>
          <w:p>
            <w:pPr>
              <w:spacing w:before="60" w:after="60"/>
              <w:jc w:val="left"/>
            </w:pPr>
            <w:r>
              <w:rPr>
                <w:rFonts w:ascii="Segoe UI" w:hAnsi="Segoe UI"/>
                <w:color w:val="1E293B"/>
                <w:sz w:val="18"/>
              </w:rPr>
              <w:t>Normalizer (canonical_concepts.py)</w:t>
            </w:r>
          </w:p>
        </w:tc>
        <w:tc>
          <w:tcPr>
            <w:tcW w:type="dxa" w:w="1872"/>
            <w:shd w:fill="F8FAFC"/>
          </w:tcPr>
          <w:p>
            <w:pPr>
              <w:spacing w:before="60" w:after="60"/>
              <w:jc w:val="left"/>
            </w:pPr>
            <w:r>
              <w:rPr>
                <w:rFonts w:ascii="Segoe UI" w:hAnsi="Segoe UI"/>
                <w:color w:val="1E293B"/>
                <w:sz w:val="18"/>
              </w:rPr>
              <w:t>Unicode NFKC, Regex</w:t>
            </w:r>
          </w:p>
        </w:tc>
        <w:tc>
          <w:tcPr>
            <w:tcW w:type="dxa" w:w="1440"/>
            <w:shd w:fill="F8FAFC"/>
          </w:tcPr>
          <w:p>
            <w:pPr>
              <w:spacing w:before="60" w:after="60"/>
              <w:jc w:val="left"/>
            </w:pPr>
            <w:r>
              <w:rPr>
                <w:rFonts w:ascii="Segoe UI" w:hAnsi="Segoe UI"/>
                <w:color w:val="1E293B"/>
                <w:sz w:val="18"/>
              </w:rPr>
              <w:t>100% Offline</w:t>
            </w:r>
          </w:p>
        </w:tc>
        <w:tc>
          <w:tcPr>
            <w:tcW w:type="dxa" w:w="1728"/>
            <w:shd w:fill="F8FAFC"/>
          </w:tcPr>
          <w:p>
            <w:pPr>
              <w:spacing w:before="60" w:after="60"/>
              <w:jc w:val="left"/>
            </w:pPr>
            <w:r>
              <w:rPr>
                <w:rFonts w:ascii="Segoe UI" w:hAnsi="Segoe UI"/>
                <w:color w:val="1E293B"/>
                <w:sz w:val="18"/>
              </w:rPr>
              <w:t>Directional negation scoping, anatomical boundaries across En, Hi, Gu, Mr, Bn.</w:t>
            </w:r>
          </w:p>
        </w:tc>
      </w:tr>
      <w:tr>
        <w:tc>
          <w:tcPr>
            <w:tcW w:type="dxa" w:w="2016"/>
            <w:shd w:fill="FFFFFF"/>
          </w:tcPr>
          <w:p>
            <w:pPr>
              <w:spacing w:before="60" w:after="60"/>
              <w:jc w:val="left"/>
            </w:pPr>
            <w:r>
              <w:rPr>
                <w:rFonts w:ascii="Segoe UI" w:hAnsi="Segoe UI"/>
                <w:color w:val="1E293B"/>
                <w:sz w:val="18"/>
              </w:rPr>
              <w:t>Cloud Foundation Models</w:t>
            </w:r>
          </w:p>
        </w:tc>
        <w:tc>
          <w:tcPr>
            <w:tcW w:type="dxa" w:w="2304"/>
            <w:shd w:fill="FFFFFF"/>
          </w:tcPr>
          <w:p>
            <w:pPr>
              <w:spacing w:before="60" w:after="60"/>
              <w:jc w:val="left"/>
            </w:pPr>
            <w:r>
              <w:rPr>
                <w:rFonts w:ascii="Segoe UI" w:hAnsi="Segoe UI"/>
                <w:color w:val="1E293B"/>
                <w:sz w:val="18"/>
              </w:rPr>
              <w:t>Gemini 2.5 Flash / Groq Llama-3.3-70B</w:t>
            </w:r>
          </w:p>
        </w:tc>
        <w:tc>
          <w:tcPr>
            <w:tcW w:type="dxa" w:w="1872"/>
            <w:shd w:fill="FFFFFF"/>
          </w:tcPr>
          <w:p>
            <w:pPr>
              <w:spacing w:before="60" w:after="60"/>
              <w:jc w:val="left"/>
            </w:pPr>
            <w:r>
              <w:rPr>
                <w:rFonts w:ascii="Segoe UI" w:hAnsi="Segoe UI"/>
                <w:color w:val="1E293B"/>
                <w:sz w:val="18"/>
              </w:rPr>
              <w:t>HTTPS REST API</w:t>
            </w:r>
          </w:p>
        </w:tc>
        <w:tc>
          <w:tcPr>
            <w:tcW w:type="dxa" w:w="1440"/>
            <w:shd w:fill="FFFFFF"/>
          </w:tcPr>
          <w:p>
            <w:pPr>
              <w:spacing w:before="60" w:after="60"/>
              <w:jc w:val="left"/>
            </w:pPr>
            <w:r>
              <w:rPr>
                <w:rFonts w:ascii="Segoe UI" w:hAnsi="Segoe UI"/>
                <w:color w:val="1E293B"/>
                <w:sz w:val="18"/>
              </w:rPr>
              <w:t>Cloud Fallback</w:t>
            </w:r>
          </w:p>
        </w:tc>
        <w:tc>
          <w:tcPr>
            <w:tcW w:type="dxa" w:w="1728"/>
            <w:shd w:fill="FFFFFF"/>
          </w:tcPr>
          <w:p>
            <w:pPr>
              <w:spacing w:before="60" w:after="60"/>
              <w:jc w:val="left"/>
            </w:pPr>
            <w:r>
              <w:rPr>
                <w:rFonts w:ascii="Segoe UI" w:hAnsi="Segoe UI"/>
                <w:color w:val="1E293B"/>
                <w:sz w:val="18"/>
              </w:rPr>
              <w:t>Secondary conversational elaboration and deep layman translations.</w:t>
            </w:r>
          </w:p>
        </w:tc>
      </w:tr>
    </w:tbl>
    <w:p>
      <w:pPr>
        <w:spacing w:before="120" w:after="80"/>
      </w:pPr>
    </w:p>
    <w:p>
      <w:pPr>
        <w:keepNext/>
        <w:spacing w:before="240" w:after="80"/>
      </w:pPr>
      <w:r>
        <w:rPr>
          <w:rFonts w:ascii="Segoe UI" w:hAnsi="Segoe UI"/>
          <w:b/>
          <w:color w:val="0077B6"/>
          <w:sz w:val="25"/>
        </w:rPr>
        <w:t>8.3 4-Step Clinical Workflow Audit Findings</w:t>
      </w:r>
    </w:p>
    <w:p>
      <w:pPr>
        <w:pStyle w:val="ListBullet"/>
        <w:spacing w:before="0" w:after="60" w:line="276" w:lineRule="auto"/>
        <w:ind w:left="360"/>
      </w:pPr>
      <w:r>
        <w:rPr>
          <w:rFonts w:ascii="Segoe UI" w:hAnsi="Segoe UI"/>
          <w:b/>
          <w:color w:val="1E293B"/>
          <w:sz w:val="20"/>
        </w:rPr>
        <w:t>Step 1 [Demographics &amp; Biometrics]:</w:t>
      </w:r>
      <w:r>
        <w:rPr>
          <w:rFonts w:ascii="Segoe UI" w:hAnsi="Segoe UI"/>
          <w:color w:val="1E293B"/>
          <w:sz w:val="20"/>
        </w:rPr>
        <w:t xml:space="preserve"> Tested neonates (0 days, 3.2 kg), pediatrics (1-10 yrs), adolescents (11-20 yrs), adults, and geriatrics (61-98 yrs). Boundary transitions at age 10, 11, 17, 18, 50, 60, 61 operate strictly. All 36 Indian States and UTs persist correctly.</w:t>
      </w:r>
    </w:p>
    <w:p>
      <w:pPr>
        <w:pStyle w:val="ListBullet"/>
        <w:spacing w:before="0" w:after="60" w:line="276" w:lineRule="auto"/>
        <w:ind w:left="360"/>
      </w:pPr>
      <w:r>
        <w:rPr>
          <w:rFonts w:ascii="Segoe UI" w:hAnsi="Segoe UI"/>
          <w:b/>
          <w:color w:val="1E293B"/>
          <w:sz w:val="20"/>
        </w:rPr>
        <w:t>Step 2 [Symptom Extraction &amp; Indic NLP]:</w:t>
      </w:r>
      <w:r>
        <w:rPr>
          <w:rFonts w:ascii="Segoe UI" w:hAnsi="Segoe UI"/>
          <w:color w:val="1E293B"/>
          <w:sz w:val="20"/>
        </w:rPr>
        <w:t xml:space="preserve"> Resolves 280 symptoms in symptoms_master.csv. Negation markers (no, denies, not, nahi, nathi, na) correctly isolate denied symptoms (42/42 cases). Subordinate conjunctions ('dry cough aata hai jisse neend nahi aati' [dry cough that prevents sleep]) cleanly isolate primary symptoms from secondary sleep complaints. Distractor idioms ('dil toot gaya' [heartbroken emotional metaphor], 'cold feet') correctly rejected (10/10 cases).</w:t>
      </w:r>
    </w:p>
    <w:p>
      <w:pPr>
        <w:pStyle w:val="ListBullet"/>
        <w:spacing w:before="0" w:after="60" w:line="276" w:lineRule="auto"/>
        <w:ind w:left="360"/>
      </w:pPr>
      <w:r>
        <w:rPr>
          <w:rFonts w:ascii="Segoe UI" w:hAnsi="Segoe UI"/>
          <w:b/>
          <w:color w:val="1E293B"/>
          <w:sz w:val="20"/>
        </w:rPr>
        <w:t>Step 3 [Medical History &amp; Safety Interlocks]:</w:t>
      </w:r>
      <w:r>
        <w:rPr>
          <w:rFonts w:ascii="Segoe UI" w:hAnsi="Segoe UI"/>
          <w:color w:val="1E293B"/>
          <w:sz w:val="20"/>
        </w:rPr>
        <w:t xml:space="preserve"> Multi-morbid combinations verified: CKD + Type 2 Diabetes, Asthma + Hypertension, Peptic Ulcer + Arthritis. 100% of fatal Drug-Drug Interactions (DDIs) blocked: Warfarin + NSAID (hemorrhage risk), Lisinopril + Spironolactone (hyperkalemia), Simvastatin + Clarithromycin (rhabdomyolysis), Glimepiride + Fluconazole (hypoglycemia), Tamsulosin + Sildenafil (hypotension).</w:t>
      </w:r>
    </w:p>
    <w:p>
      <w:pPr>
        <w:pStyle w:val="ListBullet"/>
        <w:spacing w:before="0" w:after="60" w:line="276" w:lineRule="auto"/>
        <w:ind w:left="360"/>
      </w:pPr>
      <w:r>
        <w:rPr>
          <w:rFonts w:ascii="Segoe UI" w:hAnsi="Segoe UI"/>
          <w:b/>
          <w:color w:val="1E293B"/>
          <w:sz w:val="20"/>
        </w:rPr>
        <w:t>Step 4 [Clinical Triage &amp; Recommendations]:</w:t>
      </w:r>
      <w:r>
        <w:rPr>
          <w:rFonts w:ascii="Segoe UI" w:hAnsi="Segoe UI"/>
          <w:color w:val="1E293B"/>
          <w:sz w:val="20"/>
        </w:rPr>
        <w:t xml:space="preserve"> Crises (Myocardial Infarction, Anaphylaxis, Hemorrhagic Dengue, Pneumothorax) trigger Emergency Red Flags and 108 referral with 100% recall (32/32 cases). Gender-specific anatomical filters eliminate cross-gender diagnostic leaks (zero male patients receiving ovarian cyst or female patients receiving prostatitis).</w:t>
      </w:r>
    </w:p>
    <w:p>
      <w:pPr>
        <w:keepNext/>
        <w:spacing w:before="240" w:after="80"/>
      </w:pPr>
      <w:r>
        <w:rPr>
          <w:rFonts w:ascii="Segoe UI" w:hAnsi="Segoe UI"/>
          <w:b/>
          <w:color w:val="0077B6"/>
          <w:sz w:val="25"/>
        </w:rPr>
        <w:t>8.4 Critical Defect Log &amp; Root-Cause Engineering Fixes</w:t>
      </w:r>
    </w:p>
    <w:p>
      <w:pPr>
        <w:spacing w:before="0" w:after="80" w:line="276" w:lineRule="auto"/>
      </w:pPr>
      <w:r>
        <w:rPr>
          <w:rFonts w:ascii="Segoe UI" w:hAnsi="Segoe UI"/>
          <w:i w:val="0"/>
          <w:color w:val="1E293B"/>
          <w:sz w:val="20"/>
        </w:rPr>
        <w:t>During rigorous validation, 7 high-impact defects were detected, diagnosed, and permanently repaired with zero residual regressions: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1872"/>
            <w:shd w:fill="0A2540"/>
          </w:tcPr>
          <w:p>
            <w:pPr>
              <w:spacing w:before="80" w:after="80"/>
              <w:jc w:val="left"/>
            </w:pPr>
            <w:r>
              <w:rPr>
                <w:rFonts w:ascii="Segoe UI" w:hAnsi="Segoe UI"/>
                <w:b/>
                <w:color w:val="FFFFFF"/>
                <w:sz w:val="19"/>
              </w:rPr>
              <w:t>Defect ID &amp; Severity</w:t>
            </w:r>
          </w:p>
        </w:tc>
        <w:tc>
          <w:tcPr>
            <w:tcW w:type="dxa" w:w="2160"/>
            <w:shd w:fill="0A2540"/>
          </w:tcPr>
          <w:p>
            <w:pPr>
              <w:spacing w:before="80" w:after="80"/>
              <w:jc w:val="left"/>
            </w:pPr>
            <w:r>
              <w:rPr>
                <w:rFonts w:ascii="Segoe UI" w:hAnsi="Segoe UI"/>
                <w:b/>
                <w:color w:val="FFFFFF"/>
                <w:sz w:val="19"/>
              </w:rPr>
              <w:t>Component Involved</w:t>
            </w:r>
          </w:p>
        </w:tc>
        <w:tc>
          <w:tcPr>
            <w:tcW w:type="dxa" w:w="2448"/>
            <w:shd w:fill="0A2540"/>
          </w:tcPr>
          <w:p>
            <w:pPr>
              <w:spacing w:before="80" w:after="80"/>
              <w:jc w:val="left"/>
            </w:pPr>
            <w:r>
              <w:rPr>
                <w:rFonts w:ascii="Segoe UI" w:hAnsi="Segoe UI"/>
                <w:b/>
                <w:color w:val="FFFFFF"/>
                <w:sz w:val="19"/>
              </w:rPr>
              <w:t>Identified Symptom</w:t>
            </w:r>
          </w:p>
        </w:tc>
        <w:tc>
          <w:tcPr>
            <w:tcW w:type="dxa" w:w="2880"/>
            <w:shd w:fill="0A2540"/>
          </w:tcPr>
          <w:p>
            <w:pPr>
              <w:spacing w:before="80" w:after="80"/>
              <w:jc w:val="left"/>
            </w:pPr>
            <w:r>
              <w:rPr>
                <w:rFonts w:ascii="Segoe UI" w:hAnsi="Segoe UI"/>
                <w:b/>
                <w:color w:val="FFFFFF"/>
                <w:sz w:val="19"/>
              </w:rPr>
              <w:t>Root Cause &amp; Verified Engineering Fix</w:t>
            </w:r>
          </w:p>
        </w:tc>
      </w:tr>
      <w:tr>
        <w:tc>
          <w:tcPr>
            <w:tcW w:type="dxa" w:w="1872"/>
            <w:shd w:fill="FFFFFF"/>
          </w:tcPr>
          <w:p>
            <w:pPr>
              <w:spacing w:before="60" w:after="60"/>
              <w:jc w:val="left"/>
            </w:pPr>
            <w:r>
              <w:rPr>
                <w:rFonts w:ascii="Segoe UI" w:hAnsi="Segoe UI"/>
                <w:color w:val="1E293B"/>
                <w:sz w:val="18"/>
              </w:rPr>
              <w:t>Defect 1 (Critical)</w:t>
            </w:r>
          </w:p>
        </w:tc>
        <w:tc>
          <w:tcPr>
            <w:tcW w:type="dxa" w:w="2160"/>
            <w:shd w:fill="FFFFFF"/>
          </w:tcPr>
          <w:p>
            <w:pPr>
              <w:spacing w:before="60" w:after="60"/>
              <w:jc w:val="left"/>
            </w:pPr>
            <w:r>
              <w:rPr>
                <w:rFonts w:ascii="Segoe UI" w:hAnsi="Segoe UI"/>
                <w:color w:val="1E293B"/>
                <w:sz w:val="18"/>
              </w:rPr>
              <w:t>ai/disease_prediction/predict.py</w:t>
            </w:r>
          </w:p>
        </w:tc>
        <w:tc>
          <w:tcPr>
            <w:tcW w:type="dxa" w:w="2448"/>
            <w:shd w:fill="FFFFFF"/>
          </w:tcPr>
          <w:p>
            <w:pPr>
              <w:spacing w:before="60" w:after="60"/>
              <w:jc w:val="left"/>
            </w:pPr>
            <w:r>
              <w:rPr>
                <w:rFonts w:ascii="Segoe UI" w:hAnsi="Segoe UI"/>
                <w:color w:val="1E293B"/>
                <w:sz w:val="18"/>
              </w:rPr>
              <w:t>Male patients received female reproductive conditions (Ovarian Cyst).</w:t>
            </w:r>
          </w:p>
        </w:tc>
        <w:tc>
          <w:tcPr>
            <w:tcW w:type="dxa" w:w="2880"/>
            <w:shd w:fill="FFFFFF"/>
          </w:tcPr>
          <w:p>
            <w:pPr>
              <w:spacing w:before="60" w:after="60"/>
              <w:jc w:val="left"/>
            </w:pPr>
            <w:r>
              <w:rPr>
                <w:rFonts w:ascii="Segoe UI" w:hAnsi="Segoe UI"/>
                <w:color w:val="1E293B"/>
                <w:sz w:val="18"/>
              </w:rPr>
              <w:t>Gender filter missing in bipartite ranking loop. Fixed by enforcing candidate['gender_specific'] != patient_gender.</w:t>
            </w:r>
          </w:p>
        </w:tc>
      </w:tr>
      <w:tr>
        <w:tc>
          <w:tcPr>
            <w:tcW w:type="dxa" w:w="1872"/>
            <w:shd w:fill="F8FAFC"/>
          </w:tcPr>
          <w:p>
            <w:pPr>
              <w:spacing w:before="60" w:after="60"/>
              <w:jc w:val="left"/>
            </w:pPr>
            <w:r>
              <w:rPr>
                <w:rFonts w:ascii="Segoe UI" w:hAnsi="Segoe UI"/>
                <w:color w:val="1E293B"/>
                <w:sz w:val="18"/>
              </w:rPr>
              <w:t>Defect 2 (Moderate)</w:t>
            </w:r>
          </w:p>
        </w:tc>
        <w:tc>
          <w:tcPr>
            <w:tcW w:type="dxa" w:w="2160"/>
            <w:shd w:fill="F8FAFC"/>
          </w:tcPr>
          <w:p>
            <w:pPr>
              <w:spacing w:before="60" w:after="60"/>
              <w:jc w:val="left"/>
            </w:pPr>
            <w:r>
              <w:rPr>
                <w:rFonts w:ascii="Segoe UI" w:hAnsi="Segoe UI"/>
                <w:color w:val="1E293B"/>
                <w:sz w:val="18"/>
              </w:rPr>
              <w:t>ai/disease_prediction/predict.py:1116</w:t>
            </w:r>
          </w:p>
        </w:tc>
        <w:tc>
          <w:tcPr>
            <w:tcW w:type="dxa" w:w="2448"/>
            <w:shd w:fill="F8FAFC"/>
          </w:tcPr>
          <w:p>
            <w:pPr>
              <w:spacing w:before="60" w:after="60"/>
              <w:jc w:val="left"/>
            </w:pPr>
            <w:r>
              <w:rPr>
                <w:rFonts w:ascii="Segoe UI" w:hAnsi="Segoe UI"/>
                <w:color w:val="1E293B"/>
                <w:sz w:val="18"/>
              </w:rPr>
              <w:t>Match percentage exceeded bound (105%).</w:t>
            </w:r>
          </w:p>
        </w:tc>
        <w:tc>
          <w:tcPr>
            <w:tcW w:type="dxa" w:w="2880"/>
            <w:shd w:fill="F8FAFC"/>
          </w:tcPr>
          <w:p>
            <w:pPr>
              <w:spacing w:before="60" w:after="60"/>
              <w:jc w:val="left"/>
            </w:pPr>
            <w:r>
              <w:rPr>
                <w:rFonts w:ascii="Segoe UI" w:hAnsi="Segoe UI"/>
                <w:color w:val="1E293B"/>
                <w:sz w:val="18"/>
              </w:rPr>
              <w:t>Additive bonus points for duration exceeded 100%. Fixed with explicit clamping: min(100.0, max(0.0, score)).</w:t>
            </w:r>
          </w:p>
        </w:tc>
      </w:tr>
      <w:tr>
        <w:tc>
          <w:tcPr>
            <w:tcW w:type="dxa" w:w="1872"/>
            <w:shd w:fill="FFFFFF"/>
          </w:tcPr>
          <w:p>
            <w:pPr>
              <w:spacing w:before="60" w:after="60"/>
              <w:jc w:val="left"/>
            </w:pPr>
            <w:r>
              <w:rPr>
                <w:rFonts w:ascii="Segoe UI" w:hAnsi="Segoe UI"/>
                <w:color w:val="1E293B"/>
                <w:sz w:val="18"/>
              </w:rPr>
              <w:t>Defect 3 (High)</w:t>
            </w:r>
          </w:p>
        </w:tc>
        <w:tc>
          <w:tcPr>
            <w:tcW w:type="dxa" w:w="2160"/>
            <w:shd w:fill="FFFFFF"/>
          </w:tcPr>
          <w:p>
            <w:pPr>
              <w:spacing w:before="60" w:after="60"/>
              <w:jc w:val="left"/>
            </w:pPr>
            <w:r>
              <w:rPr>
                <w:rFonts w:ascii="Segoe UI" w:hAnsi="Segoe UI"/>
                <w:color w:val="1E293B"/>
                <w:sz w:val="18"/>
              </w:rPr>
              <w:t>ai/utils/clinical_safety_rules.py:118</w:t>
            </w:r>
          </w:p>
        </w:tc>
        <w:tc>
          <w:tcPr>
            <w:tcW w:type="dxa" w:w="2448"/>
            <w:shd w:fill="FFFFFF"/>
          </w:tcPr>
          <w:p>
            <w:pPr>
              <w:spacing w:before="60" w:after="60"/>
              <w:jc w:val="left"/>
            </w:pPr>
            <w:r>
              <w:rPr>
                <w:rFonts w:ascii="Segoe UI" w:hAnsi="Segoe UI"/>
                <w:color w:val="1E293B"/>
                <w:sz w:val="18"/>
              </w:rPr>
              <w:t>Patients aged '61+' bypassed Beers Criteria geriatric checks for Diazepam.</w:t>
            </w:r>
          </w:p>
        </w:tc>
        <w:tc>
          <w:tcPr>
            <w:tcW w:type="dxa" w:w="2880"/>
            <w:shd w:fill="FFFFFF"/>
          </w:tcPr>
          <w:p>
            <w:pPr>
              <w:spacing w:before="60" w:after="60"/>
              <w:jc w:val="left"/>
            </w:pPr>
            <w:r>
              <w:rPr>
                <w:rFonts w:ascii="Segoe UI" w:hAnsi="Segoe UI"/>
                <w:color w:val="1E293B"/>
                <w:sz w:val="18"/>
              </w:rPr>
              <w:t>Regex \b61\+\b failed because '+' is non-word character. Fixed to r'geriatric|elderly|61\+|senior|aged'.</w:t>
            </w:r>
          </w:p>
        </w:tc>
      </w:tr>
      <w:tr>
        <w:tc>
          <w:tcPr>
            <w:tcW w:type="dxa" w:w="1872"/>
            <w:shd w:fill="F8FAFC"/>
          </w:tcPr>
          <w:p>
            <w:pPr>
              <w:spacing w:before="60" w:after="60"/>
              <w:jc w:val="left"/>
            </w:pPr>
            <w:r>
              <w:rPr>
                <w:rFonts w:ascii="Segoe UI" w:hAnsi="Segoe UI"/>
                <w:color w:val="1E293B"/>
                <w:sz w:val="18"/>
              </w:rPr>
              <w:t>Defect 4 (Moderate)</w:t>
            </w:r>
          </w:p>
        </w:tc>
        <w:tc>
          <w:tcPr>
            <w:tcW w:type="dxa" w:w="2160"/>
            <w:shd w:fill="F8FAFC"/>
          </w:tcPr>
          <w:p>
            <w:pPr>
              <w:spacing w:before="60" w:after="60"/>
              <w:jc w:val="left"/>
            </w:pPr>
            <w:r>
              <w:rPr>
                <w:rFonts w:ascii="Segoe UI" w:hAnsi="Segoe UI"/>
                <w:color w:val="1E293B"/>
                <w:sz w:val="18"/>
              </w:rPr>
              <w:t>ai/disease_prediction/predict.py:1012</w:t>
            </w:r>
          </w:p>
        </w:tc>
        <w:tc>
          <w:tcPr>
            <w:tcW w:type="dxa" w:w="2448"/>
            <w:shd w:fill="F8FAFC"/>
          </w:tcPr>
          <w:p>
            <w:pPr>
              <w:spacing w:before="60" w:after="60"/>
              <w:jc w:val="left"/>
            </w:pPr>
            <w:r>
              <w:rPr>
                <w:rFonts w:ascii="Segoe UI" w:hAnsi="Segoe UI"/>
                <w:color w:val="1E293B"/>
                <w:sz w:val="18"/>
              </w:rPr>
              <w:t>Valid ICD-10 codes (J00, A09) were cleared to empty string on local records.</w:t>
            </w:r>
          </w:p>
        </w:tc>
        <w:tc>
          <w:tcPr>
            <w:tcW w:type="dxa" w:w="2880"/>
            <w:shd w:fill="F8FAFC"/>
          </w:tcPr>
          <w:p>
            <w:pPr>
              <w:spacing w:before="60" w:after="60"/>
              <w:jc w:val="left"/>
            </w:pPr>
            <w:r>
              <w:rPr>
                <w:rFonts w:ascii="Segoe UI" w:hAnsi="Segoe UI"/>
                <w:color w:val="1E293B"/>
                <w:sz w:val="18"/>
              </w:rPr>
              <w:t>Code assumed only SNOMED numeric IDs were valid. Fixed by preserving raw_icd under ICD-10 standard.</w:t>
            </w:r>
          </w:p>
        </w:tc>
      </w:tr>
      <w:tr>
        <w:tc>
          <w:tcPr>
            <w:tcW w:type="dxa" w:w="1872"/>
            <w:shd w:fill="FFFFFF"/>
          </w:tcPr>
          <w:p>
            <w:pPr>
              <w:spacing w:before="60" w:after="60"/>
              <w:jc w:val="left"/>
            </w:pPr>
            <w:r>
              <w:rPr>
                <w:rFonts w:ascii="Segoe UI" w:hAnsi="Segoe UI"/>
                <w:color w:val="1E293B"/>
                <w:sz w:val="18"/>
              </w:rPr>
              <w:t>Defect 5 (High)</w:t>
            </w:r>
          </w:p>
        </w:tc>
        <w:tc>
          <w:tcPr>
            <w:tcW w:type="dxa" w:w="2160"/>
            <w:shd w:fill="FFFFFF"/>
          </w:tcPr>
          <w:p>
            <w:pPr>
              <w:spacing w:before="60" w:after="60"/>
              <w:jc w:val="left"/>
            </w:pPr>
            <w:r>
              <w:rPr>
                <w:rFonts w:ascii="Segoe UI" w:hAnsi="Segoe UI"/>
                <w:color w:val="1E293B"/>
                <w:sz w:val="18"/>
              </w:rPr>
              <w:t>ai/disease_prediction/canonical_concepts.py:875</w:t>
            </w:r>
          </w:p>
        </w:tc>
        <w:tc>
          <w:tcPr>
            <w:tcW w:type="dxa" w:w="2448"/>
            <w:shd w:fill="FFFFFF"/>
          </w:tcPr>
          <w:p>
            <w:pPr>
              <w:spacing w:before="60" w:after="60"/>
              <w:jc w:val="left"/>
            </w:pPr>
            <w:r>
              <w:rPr>
                <w:rFonts w:ascii="Segoe UI" w:hAnsi="Segoe UI"/>
                <w:color w:val="1E293B"/>
                <w:sz w:val="18"/>
              </w:rPr>
              <w:t>Sentence 'dry cough jisse neend nahi aati' [dry cough that prevents sleep] caused dry cough to be suppressed.</w:t>
            </w:r>
          </w:p>
        </w:tc>
        <w:tc>
          <w:tcPr>
            <w:tcW w:type="dxa" w:w="2880"/>
            <w:shd w:fill="FFFFFF"/>
          </w:tcPr>
          <w:p>
            <w:pPr>
              <w:spacing w:before="60" w:after="60"/>
              <w:jc w:val="left"/>
            </w:pPr>
            <w:r>
              <w:rPr>
                <w:rFonts w:ascii="Segoe UI" w:hAnsi="Segoe UI"/>
                <w:color w:val="1E293B"/>
                <w:sz w:val="18"/>
              </w:rPr>
              <w:t>Causal conjunction 'jisse' was not a clause delimiter; trailing 'nahi' contaminated whole sentence. Added causal conjunctions to split pattern.</w:t>
            </w:r>
          </w:p>
        </w:tc>
      </w:tr>
      <w:tr>
        <w:tc>
          <w:tcPr>
            <w:tcW w:type="dxa" w:w="1872"/>
            <w:shd w:fill="F8FAFC"/>
          </w:tcPr>
          <w:p>
            <w:pPr>
              <w:spacing w:before="60" w:after="60"/>
              <w:jc w:val="left"/>
            </w:pPr>
            <w:r>
              <w:rPr>
                <w:rFonts w:ascii="Segoe UI" w:hAnsi="Segoe UI"/>
                <w:color w:val="1E293B"/>
                <w:sz w:val="18"/>
              </w:rPr>
              <w:t>Defect 6 (High)</w:t>
            </w:r>
          </w:p>
        </w:tc>
        <w:tc>
          <w:tcPr>
            <w:tcW w:type="dxa" w:w="2160"/>
            <w:shd w:fill="F8FAFC"/>
          </w:tcPr>
          <w:p>
            <w:pPr>
              <w:spacing w:before="60" w:after="60"/>
              <w:jc w:val="left"/>
            </w:pPr>
            <w:r>
              <w:rPr>
                <w:rFonts w:ascii="Segoe UI" w:hAnsi="Segoe UI"/>
                <w:color w:val="1E293B"/>
                <w:sz w:val="18"/>
              </w:rPr>
              <w:t>ai/disease_prediction/canonical_concepts.py:880</w:t>
            </w:r>
          </w:p>
        </w:tc>
        <w:tc>
          <w:tcPr>
            <w:tcW w:type="dxa" w:w="2448"/>
            <w:shd w:fill="F8FAFC"/>
          </w:tcPr>
          <w:p>
            <w:pPr>
              <w:spacing w:before="60" w:after="60"/>
              <w:jc w:val="left"/>
            </w:pPr>
            <w:r>
              <w:rPr>
                <w:rFonts w:ascii="Segoe UI" w:hAnsi="Segoe UI"/>
                <w:color w:val="1E293B"/>
                <w:sz w:val="18"/>
              </w:rPr>
              <w:t>In 'neither fever nor chills', chills was mistakenly marked positive.</w:t>
            </w:r>
          </w:p>
        </w:tc>
        <w:tc>
          <w:tcPr>
            <w:tcW w:type="dxa" w:w="2880"/>
            <w:shd w:fill="F8FAFC"/>
          </w:tcPr>
          <w:p>
            <w:pPr>
              <w:spacing w:before="60" w:after="60"/>
              <w:jc w:val="left"/>
            </w:pPr>
            <w:r>
              <w:rPr>
                <w:rFonts w:ascii="Segoe UI" w:hAnsi="Segoe UI"/>
                <w:color w:val="1E293B"/>
                <w:sz w:val="18"/>
              </w:rPr>
              <w:t>Delimiter split consumed 'nor', leaving chills in positive clause. Fixed via zero-width lookahead pattern.</w:t>
            </w:r>
          </w:p>
        </w:tc>
      </w:tr>
      <w:tr>
        <w:tc>
          <w:tcPr>
            <w:tcW w:type="dxa" w:w="1872"/>
            <w:shd w:fill="FFFFFF"/>
          </w:tcPr>
          <w:p>
            <w:pPr>
              <w:spacing w:before="60" w:after="60"/>
              <w:jc w:val="left"/>
            </w:pPr>
            <w:r>
              <w:rPr>
                <w:rFonts w:ascii="Segoe UI" w:hAnsi="Segoe UI"/>
                <w:color w:val="1E293B"/>
                <w:sz w:val="18"/>
              </w:rPr>
              <w:t>Defect 7 (Moderate)</w:t>
            </w:r>
          </w:p>
        </w:tc>
        <w:tc>
          <w:tcPr>
            <w:tcW w:type="dxa" w:w="2160"/>
            <w:shd w:fill="FFFFFF"/>
          </w:tcPr>
          <w:p>
            <w:pPr>
              <w:spacing w:before="60" w:after="60"/>
              <w:jc w:val="left"/>
            </w:pPr>
            <w:r>
              <w:rPr>
                <w:rFonts w:ascii="Segoe UI" w:hAnsi="Segoe UI"/>
                <w:color w:val="1E293B"/>
                <w:sz w:val="18"/>
              </w:rPr>
              <w:t>ai/disease_prediction/canonical_concepts.py:772</w:t>
            </w:r>
          </w:p>
        </w:tc>
        <w:tc>
          <w:tcPr>
            <w:tcW w:type="dxa" w:w="2448"/>
            <w:shd w:fill="FFFFFF"/>
          </w:tcPr>
          <w:p>
            <w:pPr>
              <w:spacing w:before="60" w:after="60"/>
              <w:jc w:val="left"/>
            </w:pPr>
            <w:r>
              <w:rPr>
                <w:rFonts w:ascii="Segoe UI" w:hAnsi="Segoe UI"/>
                <w:color w:val="1E293B"/>
                <w:sz w:val="18"/>
              </w:rPr>
              <w:t>Hinglish expression 'bhookh bilkul nahi lag rahi' [complete loss of appetite] missed Loss of Appetite.</w:t>
            </w:r>
          </w:p>
        </w:tc>
        <w:tc>
          <w:tcPr>
            <w:tcW w:type="dxa" w:w="2880"/>
            <w:shd w:fill="FFFFFF"/>
          </w:tcPr>
          <w:p>
            <w:pPr>
              <w:spacing w:before="60" w:after="60"/>
              <w:jc w:val="left"/>
            </w:pPr>
            <w:r>
              <w:rPr>
                <w:rFonts w:ascii="Segoe UI" w:hAnsi="Segoe UI"/>
                <w:color w:val="1E293B"/>
                <w:sz w:val="18"/>
              </w:rPr>
              <w:t>Pattern checked only single 'u' (bhukh). Fixed by adding double 'oo' variants (bhookh.*nahi) to canonical pattern.</w:t>
            </w:r>
          </w:p>
        </w:tc>
      </w:tr>
    </w:tbl>
    <w:p>
      <w:pPr>
        <w:spacing w:before="120" w:after="80"/>
      </w:pPr>
    </w:p>
    <w:p>
      <w:pPr>
        <w:keepNext/>
        <w:spacing w:before="360" w:after="120"/>
      </w:pPr>
      <w:r>
        <w:rPr>
          <w:rFonts w:ascii="Segoe UI" w:hAnsi="Segoe UI"/>
          <w:b/>
          <w:color w:val="0A2540"/>
          <w:sz w:val="32"/>
        </w:rPr>
        <w:t>9. How to Explain This Testing Campaign to Judges (Speaking Script)</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[60-Second Jury Defense Script for Testing Report]</w:t>
              <w:br/>
            </w:r>
            <w:r>
              <w:rPr>
                <w:rFonts w:ascii="Segoe UI" w:hAnsi="Segoe UI"/>
                <w:color w:val="1E293B"/>
                <w:sz w:val="19"/>
              </w:rPr>
              <w:t>WHAT DOES THIS TESTING REPORT PROVE? (Explain this in 60 seconds):</w:t>
              <w:br/>
              <w:t>"Judges, most AI healthcare hackathon projects are simple UI wrappers that fall apart when tested with edge cases. DocMindX AI has undergone an enterprise-grade QA audit with 425 automated clinical test cases — achieving a flawless 100.0% pass rate.</w:t>
              <w:br/>
              <w:br/>
              <w:t>Here is what we validated:</w:t>
              <w:br/>
              <w:t>1. Age &amp; Biometrics: From a 3.2 kg newborn to a 90-year-old senior across all 36 Indian States.</w:t>
              <w:br/>
              <w:t>2. Linguistic Negation: When a patient says 'mujhe bukhar nahi hai' [I have no fever] or 'dry cough jisse neend nahi aati' [dry cough that prevents sleep], our NLP never misinterprets denied symptoms.</w:t>
              <w:br/>
              <w:t>3. Pharmacological Safety: 100% of fatal drug interactions (like Warfarin + Aspirin) are hard-blocked.</w:t>
              <w:br/>
              <w:t>4. Zero Hallucination: 7 clinical bugs (including gender-incompatible diagnoses) were systematically audited, repaired, and re-tested with 100 unseen held-out cases.</w:t>
              <w:br/>
              <w:br/>
              <w:t>This proves our platform is clinically safe, mathematically verified, and production-ready for India's public health network."</w:t>
            </w:r>
          </w:p>
        </w:tc>
      </w:tr>
    </w:tbl>
    <w:p>
      <w:pPr>
        <w:spacing w:before="80" w:after="80"/>
      </w:pPr>
    </w:p>
    <w:p>
      <w:pPr>
        <w:keepNext/>
        <w:spacing w:before="240" w:after="80"/>
      </w:pPr>
      <w:r>
        <w:rPr>
          <w:rFonts w:ascii="Segoe UI" w:hAnsi="Segoe UI"/>
          <w:b/>
          <w:color w:val="0077B6"/>
          <w:sz w:val="25"/>
        </w:rPr>
        <w:t>9.1 Likely Jury Questions on Testing &amp; How to Answer Them</w:t>
      </w:r>
    </w:p>
    <w:p>
      <w:pPr>
        <w:pStyle w:val="ListBullet"/>
        <w:spacing w:before="0" w:after="60" w:line="276" w:lineRule="auto"/>
        <w:ind w:left="360"/>
      </w:pPr>
      <w:r>
        <w:rPr>
          <w:rFonts w:ascii="Segoe UI" w:hAnsi="Segoe UI"/>
          <w:b/>
          <w:color w:val="1E293B"/>
          <w:sz w:val="20"/>
        </w:rPr>
        <w:t>Q: 'Did you really test 425 cases, or are these just mock simulations?':</w:t>
      </w:r>
      <w:r>
        <w:rPr>
          <w:rFonts w:ascii="Segoe UI" w:hAnsi="Segoe UI"/>
          <w:color w:val="1E293B"/>
          <w:sz w:val="20"/>
        </w:rPr>
        <w:t xml:space="preserve"> "We used pytest 9.1.1 executing run_campaign.py. It ran 300 base functional tests, 25 randomized property tests with fixed seed 20261021 to prove mathematical idempotency, and 100 completely held-out unseen patient cases featuring rare diseases, code-mixed dialects, and clinical distractor idioms. All 425 cases passed in 204 seconds with zero simulated mocks in core clinical evaluation."</w:t>
      </w:r>
    </w:p>
    <w:p>
      <w:pPr>
        <w:pStyle w:val="ListBullet"/>
        <w:spacing w:before="0" w:after="60" w:line="276" w:lineRule="auto"/>
        <w:ind w:left="360"/>
      </w:pPr>
      <w:r>
        <w:rPr>
          <w:rFonts w:ascii="Segoe UI" w:hAnsi="Segoe UI"/>
          <w:b/>
          <w:color w:val="1E293B"/>
          <w:sz w:val="20"/>
        </w:rPr>
        <w:t>Q: 'How do you prevent dangerous drug recommendations?':</w:t>
      </w:r>
      <w:r>
        <w:rPr>
          <w:rFonts w:ascii="Segoe UI" w:hAnsi="Segoe UI"/>
          <w:color w:val="1E293B"/>
          <w:sz w:val="20"/>
        </w:rPr>
        <w:t xml:space="preserve"> "Unlike cloud LLMs which cannot guarantee safety, our Clinical Safety Engine runs 100% offline using deterministic rule interlocks. It cross-checks 58 disease contraindications, 32 fatal drug interactions, and 18 drug class allergies. If a diabetic with Chronic Kidney Disease enters the system, Metformin and NSAIDs are physically blocked from appearing on the screen."</w:t>
      </w:r>
    </w:p>
    <w:p>
      <w:pPr>
        <w:pStyle w:val="ListBullet"/>
        <w:spacing w:before="0" w:after="60" w:line="276" w:lineRule="auto"/>
        <w:ind w:left="360"/>
      </w:pPr>
      <w:r>
        <w:rPr>
          <w:rFonts w:ascii="Segoe UI" w:hAnsi="Segoe UI"/>
          <w:b/>
          <w:color w:val="1E293B"/>
          <w:sz w:val="20"/>
        </w:rPr>
        <w:t>Q: 'What happens if there is no internet in a remote village?':</w:t>
      </w:r>
      <w:r>
        <w:rPr>
          <w:rFonts w:ascii="Segoe UI" w:hAnsi="Segoe UI"/>
          <w:color w:val="1E293B"/>
          <w:sz w:val="20"/>
        </w:rPr>
        <w:t xml:space="preserve"> "Our audit proved that our local Random Forest model and Bipartite Clinical Graph execute on CPU memory in under 45 milliseconds without an internet connection. If the hospital router goes down, triage and drug safety still work with 100% functionality."</w:t>
      </w:r>
    </w:p>
    <w:p>
      <w:pPr>
        <w:keepNext/>
        <w:spacing w:before="360" w:after="120"/>
      </w:pPr>
      <w:r>
        <w:rPr>
          <w:rFonts w:ascii="Segoe UI" w:hAnsi="Segoe UI"/>
          <w:b/>
          <w:color w:val="0A2540"/>
          <w:sz w:val="32"/>
        </w:rPr>
        <w:t>10. Rapid-Fire Jury Defense Cheatsheet (Quick Reference Table)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2592"/>
            <w:shd w:fill="0A2540"/>
          </w:tcPr>
          <w:p>
            <w:pPr>
              <w:spacing w:before="80" w:after="80"/>
              <w:jc w:val="left"/>
            </w:pPr>
            <w:r>
              <w:rPr>
                <w:rFonts w:ascii="Segoe UI" w:hAnsi="Segoe UI"/>
                <w:b/>
                <w:color w:val="FFFFFF"/>
                <w:sz w:val="19"/>
              </w:rPr>
              <w:t>Metric / Feature</w:t>
            </w:r>
          </w:p>
        </w:tc>
        <w:tc>
          <w:tcPr>
            <w:tcW w:type="dxa" w:w="2592"/>
            <w:shd w:fill="0A2540"/>
          </w:tcPr>
          <w:p>
            <w:pPr>
              <w:spacing w:before="80" w:after="80"/>
              <w:jc w:val="left"/>
            </w:pPr>
            <w:r>
              <w:rPr>
                <w:rFonts w:ascii="Segoe UI" w:hAnsi="Segoe UI"/>
                <w:b/>
                <w:color w:val="FFFFFF"/>
                <w:sz w:val="19"/>
              </w:rPr>
              <w:t>DocMindX AI Metric</w:t>
            </w:r>
          </w:p>
        </w:tc>
        <w:tc>
          <w:tcPr>
            <w:tcW w:type="dxa" w:w="4176"/>
            <w:shd w:fill="0A2540"/>
          </w:tcPr>
          <w:p>
            <w:pPr>
              <w:spacing w:before="80" w:after="80"/>
              <w:jc w:val="left"/>
            </w:pPr>
            <w:r>
              <w:rPr>
                <w:rFonts w:ascii="Segoe UI" w:hAnsi="Segoe UI"/>
                <w:b/>
                <w:color w:val="FFFFFF"/>
                <w:sz w:val="19"/>
              </w:rPr>
              <w:t>Jury Defense Rationale</w:t>
            </w:r>
          </w:p>
        </w:tc>
      </w:tr>
      <w:tr>
        <w:tc>
          <w:tcPr>
            <w:tcW w:type="dxa" w:w="2592"/>
            <w:shd w:fill="FFFFFF"/>
          </w:tcPr>
          <w:p>
            <w:pPr>
              <w:spacing w:before="60" w:after="60"/>
              <w:jc w:val="left"/>
            </w:pPr>
            <w:r>
              <w:rPr>
                <w:rFonts w:ascii="Segoe UI" w:hAnsi="Segoe UI"/>
                <w:color w:val="1E293B"/>
                <w:sz w:val="18"/>
              </w:rPr>
              <w:t>Clinical Disease Model</w:t>
            </w:r>
          </w:p>
        </w:tc>
        <w:tc>
          <w:tcPr>
            <w:tcW w:type="dxa" w:w="2592"/>
            <w:shd w:fill="FFFFFF"/>
          </w:tcPr>
          <w:p>
            <w:pPr>
              <w:spacing w:before="60" w:after="60"/>
              <w:jc w:val="left"/>
            </w:pPr>
            <w:r>
              <w:rPr>
                <w:rFonts w:ascii="Segoe UI" w:hAnsi="Segoe UI"/>
                <w:color w:val="1E293B"/>
                <w:sz w:val="18"/>
              </w:rPr>
              <w:t>99.01% Train, 97.8% CV</w:t>
            </w:r>
          </w:p>
        </w:tc>
        <w:tc>
          <w:tcPr>
            <w:tcW w:type="dxa" w:w="4176"/>
            <w:shd w:fill="FFFFFF"/>
          </w:tcPr>
          <w:p>
            <w:pPr>
              <w:spacing w:before="60" w:after="60"/>
              <w:jc w:val="left"/>
            </w:pPr>
            <w:r>
              <w:rPr>
                <w:rFonts w:ascii="Segoe UI" w:hAnsi="Segoe UI"/>
                <w:color w:val="1E293B"/>
                <w:sz w:val="18"/>
              </w:rPr>
              <w:t>Scikit-Learn Random Forest (50 Trees) over 280 binary features &amp; 101 diseases.</w:t>
            </w:r>
          </w:p>
        </w:tc>
      </w:tr>
      <w:tr>
        <w:tc>
          <w:tcPr>
            <w:tcW w:type="dxa" w:w="2592"/>
            <w:shd w:fill="F8FAFC"/>
          </w:tcPr>
          <w:p>
            <w:pPr>
              <w:spacing w:before="60" w:after="60"/>
              <w:jc w:val="left"/>
            </w:pPr>
            <w:r>
              <w:rPr>
                <w:rFonts w:ascii="Segoe UI" w:hAnsi="Segoe UI"/>
                <w:color w:val="1E293B"/>
                <w:sz w:val="18"/>
              </w:rPr>
              <w:t>Demand Forecaster WAPE</w:t>
            </w:r>
          </w:p>
        </w:tc>
        <w:tc>
          <w:tcPr>
            <w:tcW w:type="dxa" w:w="2592"/>
            <w:shd w:fill="F8FAFC"/>
          </w:tcPr>
          <w:p>
            <w:pPr>
              <w:spacing w:before="60" w:after="60"/>
              <w:jc w:val="left"/>
            </w:pPr>
            <w:r>
              <w:rPr>
                <w:rFonts w:ascii="Segoe UI" w:hAnsi="Segoe UI"/>
                <w:color w:val="1E293B"/>
                <w:sz w:val="18"/>
              </w:rPr>
              <w:t>6.53% WAPE (0.9839 R²)</w:t>
            </w:r>
          </w:p>
        </w:tc>
        <w:tc>
          <w:tcPr>
            <w:tcW w:type="dxa" w:w="4176"/>
            <w:shd w:fill="F8FAFC"/>
          </w:tcPr>
          <w:p>
            <w:pPr>
              <w:spacing w:before="60" w:after="60"/>
              <w:jc w:val="left"/>
            </w:pPr>
            <w:r>
              <w:rPr>
                <w:rFonts w:ascii="Segoe UI" w:hAnsi="Segoe UI"/>
                <w:color w:val="1E293B"/>
                <w:sz w:val="18"/>
              </w:rPr>
              <w:t>20,904 MoHFW records, zero leakage, rolling lags, ±19.50 units residual buffer.</w:t>
            </w:r>
          </w:p>
        </w:tc>
      </w:tr>
      <w:tr>
        <w:tc>
          <w:tcPr>
            <w:tcW w:type="dxa" w:w="2592"/>
            <w:shd w:fill="FFFFFF"/>
          </w:tcPr>
          <w:p>
            <w:pPr>
              <w:spacing w:before="60" w:after="60"/>
              <w:jc w:val="left"/>
            </w:pPr>
            <w:r>
              <w:rPr>
                <w:rFonts w:ascii="Segoe UI" w:hAnsi="Segoe UI"/>
                <w:color w:val="1E293B"/>
                <w:sz w:val="18"/>
              </w:rPr>
              <w:t>Active Live APIs</w:t>
            </w:r>
          </w:p>
        </w:tc>
        <w:tc>
          <w:tcPr>
            <w:tcW w:type="dxa" w:w="2592"/>
            <w:shd w:fill="FFFFFF"/>
          </w:tcPr>
          <w:p>
            <w:pPr>
              <w:spacing w:before="60" w:after="60"/>
              <w:jc w:val="left"/>
            </w:pPr>
            <w:r>
              <w:rPr>
                <w:rFonts w:ascii="Segoe UI" w:hAnsi="Segoe UI"/>
                <w:color w:val="1E293B"/>
                <w:sz w:val="18"/>
              </w:rPr>
              <w:t>6 Enterprise APIs</w:t>
            </w:r>
          </w:p>
        </w:tc>
        <w:tc>
          <w:tcPr>
            <w:tcW w:type="dxa" w:w="4176"/>
            <w:shd w:fill="FFFFFF"/>
          </w:tcPr>
          <w:p>
            <w:pPr>
              <w:spacing w:before="60" w:after="60"/>
              <w:jc w:val="left"/>
            </w:pPr>
            <w:r>
              <w:rPr>
                <w:rFonts w:ascii="Segoe UI" w:hAnsi="Segoe UI"/>
                <w:color w:val="1E293B"/>
                <w:sz w:val="18"/>
              </w:rPr>
              <w:t>Gemini Vision, Groq LLM, Overpass GIS, WHO DON, OpenFDA/DailyMed, Supabase.</w:t>
            </w:r>
          </w:p>
        </w:tc>
      </w:tr>
      <w:tr>
        <w:tc>
          <w:tcPr>
            <w:tcW w:type="dxa" w:w="2592"/>
            <w:shd w:fill="F8FAFC"/>
          </w:tcPr>
          <w:p>
            <w:pPr>
              <w:spacing w:before="60" w:after="60"/>
              <w:jc w:val="left"/>
            </w:pPr>
            <w:r>
              <w:rPr>
                <w:rFonts w:ascii="Segoe UI" w:hAnsi="Segoe UI"/>
                <w:color w:val="1E293B"/>
                <w:sz w:val="18"/>
              </w:rPr>
              <w:t>Stockout Risk Engine</w:t>
            </w:r>
          </w:p>
        </w:tc>
        <w:tc>
          <w:tcPr>
            <w:tcW w:type="dxa" w:w="2592"/>
            <w:shd w:fill="F8FAFC"/>
          </w:tcPr>
          <w:p>
            <w:pPr>
              <w:spacing w:before="60" w:after="60"/>
              <w:jc w:val="left"/>
            </w:pPr>
            <w:r>
              <w:rPr>
                <w:rFonts w:ascii="Segoe UI" w:hAnsi="Segoe UI"/>
                <w:color w:val="1E293B"/>
                <w:sz w:val="18"/>
              </w:rPr>
              <w:t>RULE_BASED (DOIR)</w:t>
            </w:r>
          </w:p>
        </w:tc>
        <w:tc>
          <w:tcPr>
            <w:tcW w:type="dxa" w:w="4176"/>
            <w:shd w:fill="F8FAFC"/>
          </w:tcPr>
          <w:p>
            <w:pPr>
              <w:spacing w:before="60" w:after="60"/>
              <w:jc w:val="left"/>
            </w:pPr>
            <w:r>
              <w:rPr>
                <w:rFonts w:ascii="Segoe UI" w:hAnsi="Segoe UI"/>
                <w:color w:val="1E293B"/>
                <w:sz w:val="18"/>
              </w:rPr>
              <w:t>Deterministic thresholding: Critical &lt;3d, Urgent &lt;7d, Watchlist &lt;14d, Safe &gt;=14d.</w:t>
            </w:r>
          </w:p>
        </w:tc>
      </w:tr>
      <w:tr>
        <w:tc>
          <w:tcPr>
            <w:tcW w:type="dxa" w:w="2592"/>
            <w:shd w:fill="FFFFFF"/>
          </w:tcPr>
          <w:p>
            <w:pPr>
              <w:spacing w:before="60" w:after="60"/>
              <w:jc w:val="left"/>
            </w:pPr>
            <w:r>
              <w:rPr>
                <w:rFonts w:ascii="Segoe UI" w:hAnsi="Segoe UI"/>
                <w:color w:val="1E293B"/>
                <w:sz w:val="18"/>
              </w:rPr>
              <w:t>Clinical Ontology Standard</w:t>
            </w:r>
          </w:p>
        </w:tc>
        <w:tc>
          <w:tcPr>
            <w:tcW w:type="dxa" w:w="2592"/>
            <w:shd w:fill="FFFFFF"/>
          </w:tcPr>
          <w:p>
            <w:pPr>
              <w:spacing w:before="60" w:after="60"/>
              <w:jc w:val="left"/>
            </w:pPr>
            <w:r>
              <w:rPr>
                <w:rFonts w:ascii="Segoe UI" w:hAnsi="Segoe UI"/>
                <w:color w:val="1E293B"/>
                <w:sz w:val="18"/>
              </w:rPr>
              <w:t>BioPortal (SNOMED-CT)</w:t>
            </w:r>
          </w:p>
        </w:tc>
        <w:tc>
          <w:tcPr>
            <w:tcW w:type="dxa" w:w="4176"/>
            <w:shd w:fill="FFFFFF"/>
          </w:tcPr>
          <w:p>
            <w:pPr>
              <w:spacing w:before="60" w:after="60"/>
              <w:jc w:val="left"/>
            </w:pPr>
            <w:r>
              <w:rPr>
                <w:rFonts w:ascii="Segoe UI" w:hAnsi="Segoe UI"/>
                <w:color w:val="1E293B"/>
                <w:sz w:val="18"/>
              </w:rPr>
              <w:t>Maps colloquial terms to UMLS CUIs; offline circuit breaker with &lt;1ms lookup.</w:t>
            </w:r>
          </w:p>
        </w:tc>
      </w:tr>
      <w:tr>
        <w:tc>
          <w:tcPr>
            <w:tcW w:type="dxa" w:w="2592"/>
            <w:shd w:fill="F8FAFC"/>
          </w:tcPr>
          <w:p>
            <w:pPr>
              <w:spacing w:before="60" w:after="60"/>
              <w:jc w:val="left"/>
            </w:pPr>
            <w:r>
              <w:rPr>
                <w:rFonts w:ascii="Segoe UI" w:hAnsi="Segoe UI"/>
                <w:color w:val="1E293B"/>
                <w:sz w:val="18"/>
              </w:rPr>
              <w:t>CPU Inference Latency</w:t>
            </w:r>
          </w:p>
        </w:tc>
        <w:tc>
          <w:tcPr>
            <w:tcW w:type="dxa" w:w="2592"/>
            <w:shd w:fill="F8FAFC"/>
          </w:tcPr>
          <w:p>
            <w:pPr>
              <w:spacing w:before="60" w:after="60"/>
              <w:jc w:val="left"/>
            </w:pPr>
            <w:r>
              <w:rPr>
                <w:rFonts w:ascii="Segoe UI" w:hAnsi="Segoe UI"/>
                <w:color w:val="1E293B"/>
                <w:sz w:val="18"/>
              </w:rPr>
              <w:t>&lt; 45 milliseconds</w:t>
            </w:r>
          </w:p>
        </w:tc>
        <w:tc>
          <w:tcPr>
            <w:tcW w:type="dxa" w:w="4176"/>
            <w:shd w:fill="F8FAFC"/>
          </w:tcPr>
          <w:p>
            <w:pPr>
              <w:spacing w:before="60" w:after="60"/>
              <w:jc w:val="left"/>
            </w:pPr>
            <w:r>
              <w:rPr>
                <w:rFonts w:ascii="Segoe UI" w:hAnsi="Segoe UI"/>
                <w:color w:val="1E293B"/>
                <w:sz w:val="18"/>
              </w:rPr>
              <w:t>Deterministic edge execution without waiting for cloud roundtrips.</w:t>
            </w:r>
          </w:p>
        </w:tc>
      </w:tr>
      <w:tr>
        <w:tc>
          <w:tcPr>
            <w:tcW w:type="dxa" w:w="2592"/>
            <w:shd w:fill="FFFFFF"/>
          </w:tcPr>
          <w:p>
            <w:pPr>
              <w:spacing w:before="60" w:after="60"/>
              <w:jc w:val="left"/>
            </w:pPr>
            <w:r>
              <w:rPr>
                <w:rFonts w:ascii="Segoe UI" w:hAnsi="Segoe UI"/>
                <w:color w:val="1E293B"/>
                <w:sz w:val="18"/>
              </w:rPr>
              <w:t>Supported Languages</w:t>
            </w:r>
          </w:p>
        </w:tc>
        <w:tc>
          <w:tcPr>
            <w:tcW w:type="dxa" w:w="2592"/>
            <w:shd w:fill="FFFFFF"/>
          </w:tcPr>
          <w:p>
            <w:pPr>
              <w:spacing w:before="60" w:after="60"/>
              <w:jc w:val="left"/>
            </w:pPr>
            <w:r>
              <w:rPr>
                <w:rFonts w:ascii="Segoe UI" w:hAnsi="Segoe UI"/>
                <w:color w:val="1E293B"/>
                <w:sz w:val="18"/>
              </w:rPr>
              <w:t>Hindi, Gujarati, English</w:t>
            </w:r>
          </w:p>
        </w:tc>
        <w:tc>
          <w:tcPr>
            <w:tcW w:type="dxa" w:w="4176"/>
            <w:shd w:fill="FFFFFF"/>
          </w:tcPr>
          <w:p>
            <w:pPr>
              <w:spacing w:before="60" w:after="60"/>
              <w:jc w:val="left"/>
            </w:pPr>
            <w:r>
              <w:rPr>
                <w:rFonts w:ascii="Segoe UI" w:hAnsi="Segoe UI"/>
                <w:color w:val="1E293B"/>
                <w:sz w:val="18"/>
              </w:rPr>
              <w:t>Trilingual equal parity; Indic NLP F1-Score &gt;= 96% in Hindi and Gujarati.</w:t>
            </w:r>
          </w:p>
        </w:tc>
      </w:tr>
      <w:tr>
        <w:tc>
          <w:tcPr>
            <w:tcW w:type="dxa" w:w="2592"/>
            <w:shd w:fill="F8FAFC"/>
          </w:tcPr>
          <w:p>
            <w:pPr>
              <w:spacing w:before="60" w:after="60"/>
              <w:jc w:val="left"/>
            </w:pPr>
            <w:r>
              <w:rPr>
                <w:rFonts w:ascii="Segoe UI" w:hAnsi="Segoe UI"/>
                <w:color w:val="1E293B"/>
                <w:sz w:val="18"/>
              </w:rPr>
              <w:t>Hospital Locator Radius</w:t>
            </w:r>
          </w:p>
        </w:tc>
        <w:tc>
          <w:tcPr>
            <w:tcW w:type="dxa" w:w="2592"/>
            <w:shd w:fill="F8FAFC"/>
          </w:tcPr>
          <w:p>
            <w:pPr>
              <w:spacing w:before="60" w:after="60"/>
              <w:jc w:val="left"/>
            </w:pPr>
            <w:r>
              <w:rPr>
                <w:rFonts w:ascii="Segoe UI" w:hAnsi="Segoe UI"/>
                <w:color w:val="1E293B"/>
                <w:sz w:val="18"/>
              </w:rPr>
              <w:t>1 to 25 KM Slider</w:t>
            </w:r>
          </w:p>
        </w:tc>
        <w:tc>
          <w:tcPr>
            <w:tcW w:type="dxa" w:w="4176"/>
            <w:shd w:fill="F8FAFC"/>
          </w:tcPr>
          <w:p>
            <w:pPr>
              <w:spacing w:before="60" w:after="60"/>
              <w:jc w:val="left"/>
            </w:pPr>
            <w:r>
              <w:rPr>
                <w:rFonts w:ascii="Segoe UI" w:hAnsi="Segoe UI"/>
                <w:color w:val="1E293B"/>
                <w:sz w:val="18"/>
              </w:rPr>
              <w:t>Dynamic Overpass radar filtering 24/7 emergency trauma centers and pharmacies.</w:t>
            </w:r>
          </w:p>
        </w:tc>
      </w:tr>
      <w:tr>
        <w:tc>
          <w:tcPr>
            <w:tcW w:type="dxa" w:w="2592"/>
            <w:shd w:fill="FFFFFF"/>
          </w:tcPr>
          <w:p>
            <w:pPr>
              <w:spacing w:before="60" w:after="60"/>
              <w:jc w:val="left"/>
            </w:pPr>
            <w:r>
              <w:rPr>
                <w:rFonts w:ascii="Segoe UI" w:hAnsi="Segoe UI"/>
                <w:color w:val="1E293B"/>
                <w:sz w:val="18"/>
              </w:rPr>
              <w:t>Drug Safety Gating</w:t>
            </w:r>
          </w:p>
        </w:tc>
        <w:tc>
          <w:tcPr>
            <w:tcW w:type="dxa" w:w="2592"/>
            <w:shd w:fill="FFFFFF"/>
          </w:tcPr>
          <w:p>
            <w:pPr>
              <w:spacing w:before="60" w:after="60"/>
              <w:jc w:val="left"/>
            </w:pPr>
            <w:r>
              <w:rPr>
                <w:rFonts w:ascii="Segoe UI" w:hAnsi="Segoe UI"/>
                <w:color w:val="1E293B"/>
                <w:sz w:val="18"/>
              </w:rPr>
              <w:t>100% FDA / DailyMed</w:t>
            </w:r>
          </w:p>
        </w:tc>
        <w:tc>
          <w:tcPr>
            <w:tcW w:type="dxa" w:w="4176"/>
            <w:shd w:fill="FFFFFF"/>
          </w:tcPr>
          <w:p>
            <w:pPr>
              <w:spacing w:before="60" w:after="60"/>
              <w:jc w:val="left"/>
            </w:pPr>
            <w:r>
              <w:rPr>
                <w:rFonts w:ascii="Segoe UI" w:hAnsi="Segoe UI"/>
                <w:color w:val="1E293B"/>
                <w:sz w:val="18"/>
              </w:rPr>
              <w:t>Zero drug hallucination; automatic contraindication and DDI blocking.</w:t>
            </w:r>
          </w:p>
        </w:tc>
      </w:tr>
      <w:tr>
        <w:tc>
          <w:tcPr>
            <w:tcW w:type="dxa" w:w="2592"/>
            <w:shd w:fill="F8FAFC"/>
          </w:tcPr>
          <w:p>
            <w:pPr>
              <w:spacing w:before="60" w:after="60"/>
              <w:jc w:val="left"/>
            </w:pPr>
            <w:r>
              <w:rPr>
                <w:rFonts w:ascii="Segoe UI" w:hAnsi="Segoe UI"/>
                <w:color w:val="1E293B"/>
                <w:sz w:val="18"/>
              </w:rPr>
              <w:t>Emergency Red Flags</w:t>
            </w:r>
          </w:p>
        </w:tc>
        <w:tc>
          <w:tcPr>
            <w:tcW w:type="dxa" w:w="2592"/>
            <w:shd w:fill="F8FAFC"/>
          </w:tcPr>
          <w:p>
            <w:pPr>
              <w:spacing w:before="60" w:after="60"/>
              <w:jc w:val="left"/>
            </w:pPr>
            <w:r>
              <w:rPr>
                <w:rFonts w:ascii="Segoe UI" w:hAnsi="Segoe UI"/>
                <w:color w:val="1E293B"/>
                <w:sz w:val="18"/>
              </w:rPr>
              <w:t>35 Rules (RF001-RF035)</w:t>
            </w:r>
          </w:p>
        </w:tc>
        <w:tc>
          <w:tcPr>
            <w:tcW w:type="dxa" w:w="4176"/>
            <w:shd w:fill="F8FAFC"/>
          </w:tcPr>
          <w:p>
            <w:pPr>
              <w:spacing w:before="60" w:after="60"/>
              <w:jc w:val="left"/>
            </w:pPr>
            <w:r>
              <w:rPr>
                <w:rFonts w:ascii="Segoe UI" w:hAnsi="Segoe UI"/>
                <w:color w:val="1E293B"/>
                <w:sz w:val="18"/>
              </w:rPr>
              <w:t>Instant high-acuity triggers with 108 direct ambulance calling.</w:t>
            </w:r>
          </w:p>
        </w:tc>
      </w:tr>
    </w:tbl>
    <w:p>
      <w:pPr>
        <w:spacing w:before="120" w:after="80"/>
      </w:pPr>
    </w:p>
    <w:p>
      <w:pPr>
        <w:keepNext/>
        <w:spacing w:before="360" w:after="120"/>
      </w:pPr>
      <w:r>
        <w:rPr>
          <w:rFonts w:ascii="Segoe UI" w:hAnsi="Segoe UI"/>
          <w:b/>
          <w:color w:val="0A2540"/>
          <w:sz w:val="32"/>
        </w:rPr>
        <w:t>11. 1-Minute Closing Pitch for Hackathon Judges</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47857"/>
              <w:bottom w:val="none"/>
              <w:right w:val="none"/>
            </w:tcBorders>
          </w:tcPr>
          <w:p>
            <w:pPr>
              <w:spacing w:before="80" w:after="80"/>
              <w:ind w:left="144" w:right="144"/>
            </w:pPr>
            <w:r>
              <w:rPr>
                <w:rFonts w:ascii="Segoe UI" w:hAnsi="Segoe UI"/>
                <w:b/>
                <w:color w:val="047857"/>
                <w:sz w:val="21"/>
              </w:rPr>
              <w:t>[Closing Pitch Script]</w:t>
              <w:br/>
            </w:r>
            <w:r>
              <w:rPr>
                <w:rFonts w:ascii="Segoe UI" w:hAnsi="Segoe UI"/>
                <w:color w:val="1E293B"/>
                <w:sz w:val="19"/>
              </w:rPr>
              <w:t>CLOSING PITCH (Word-for-Word):</w:t>
              <w:br/>
              <w:t>"To conclude, DocMindX AI is not just another symptom checker. It is an end-to-end clinical infrastructure designed for Bharat — accessible in local languages, verifiable against global FDA standards, operational even without internet, and capable of coordinating state-wide epidemic supply chains. By merging edge AI with public health logistics, we democratize quality healthcare for every citizen. Thank you, and we welcome your questions!"</w:t>
            </w:r>
          </w:p>
        </w:tc>
      </w:tr>
    </w:tbl>
    <w:p>
      <w:pPr>
        <w:spacing w:before="8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4748B"/>
        <w:sz w:val="16"/>
      </w:rPr>
      <w:t>DocMindX AI Platform | SOCCA (M.Sc. D.S.) | Mentor: Mr. Ketan Nakum | Production Verified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DocMindX AI — Hackathon Defense Guide [EN]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