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20" w:right="-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VIOLENCE AGAINST WOMEN AND CHILDREN (VAWC) MONITORING CHART 2025</w:t>
      </w:r>
    </w:p>
    <w:p w:rsidR="00000000" w:rsidDel="00000000" w:rsidP="00000000" w:rsidRDefault="00000000" w:rsidRPr="00000000" w14:paraId="00000003">
      <w:pPr>
        <w:ind w:left="-720" w:right="-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R.A. 9262</w:t>
      </w:r>
    </w:p>
    <w:p w:rsidR="00000000" w:rsidDel="00000000" w:rsidP="00000000" w:rsidRDefault="00000000" w:rsidRPr="00000000" w14:paraId="00000004">
      <w:pPr>
        <w:ind w:left="-720" w:right="-72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20" w:right="-72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{{{incidentTable}}}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jc w:val="center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Republic of the Philippines</w:t>
      <w:br w:type="textWrapping"/>
      <w:t xml:space="preserve">Province of Nueva Vizcaya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5219700</wp:posOffset>
          </wp:positionH>
          <wp:positionV relativeFrom="paragraph">
            <wp:posOffset>-52387</wp:posOffset>
          </wp:positionV>
          <wp:extent cx="804863" cy="80486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4863" cy="8048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2190750</wp:posOffset>
          </wp:positionH>
          <wp:positionV relativeFrom="paragraph">
            <wp:posOffset>-76199</wp:posOffset>
          </wp:positionV>
          <wp:extent cx="852488" cy="85248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2488" cy="8524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7">
    <w:pPr>
      <w:jc w:val="center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MUNICIPALITY OF BAYOMBONG</w:t>
    </w:r>
  </w:p>
  <w:p w:rsidR="00000000" w:rsidDel="00000000" w:rsidP="00000000" w:rsidRDefault="00000000" w:rsidRPr="00000000" w14:paraId="00000008">
    <w:pPr>
      <w:jc w:val="center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BARANGAY BONFAL PROPER</w:t>
    </w:r>
  </w:p>
  <w:p w:rsidR="00000000" w:rsidDel="00000000" w:rsidP="00000000" w:rsidRDefault="00000000" w:rsidRPr="00000000" w14:paraId="00000009">
    <w:pPr>
      <w:ind w:left="0" w:firstLine="0"/>
      <w:jc w:val="center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