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F4E79"/>
          <w:sz w:val="72"/>
          <w:szCs w:val="72"/>
        </w:rPr>
        <w:t xml:space="preserve">BIO Framework</w:t>
      </w:r>
    </w:p>
    <w:p>
      <w:pPr>
        <w:spacing w:after="0" w:before="120"/>
        <w:jc w:val="center"/>
      </w:pPr>
      <w:r>
        <w:rPr>
          <w:rFonts w:ascii="Arial" w:cs="Arial" w:eastAsia="Arial" w:hAnsi="Arial"/>
          <w:color w:val="2E75B6"/>
          <w:sz w:val="40"/>
          <w:szCs w:val="40"/>
        </w:rPr>
        <w:t xml:space="preserve">Bilevel Isoperformance Optimization</w:t>
      </w:r>
    </w:p>
    <w:p>
      <w:pPr>
        <w:spacing w:after="0" w:before="80"/>
        <w:jc w:val="center"/>
      </w:pPr>
      <w:r>
        <w:rPr>
          <w:rFonts w:ascii="Arial" w:cs="Arial" w:eastAsia="Arial" w:hAnsi="Arial"/>
          <w:color w:val="2E75B6"/>
          <w:sz w:val="40"/>
          <w:szCs w:val="40"/>
        </w:rPr>
        <w:t xml:space="preserve">for Engineering Design Equivalence</w:t>
      </w:r>
    </w:p>
    <w:p>
      <w:pPr>
        <w:pBdr>
          <w:bottom w:val="single" w:color="2E75B6" w:sz="6" w:space="8"/>
        </w:pBdr>
        <w:spacing w:after="0" w:before="200"/>
        <w:jc w:val="center"/>
      </w:pPr>
      <w:r>
        <w:rPr>
          <w:rFonts w:ascii="Arial" w:cs="Arial" w:eastAsia="Arial" w:hAnsi="Arial"/>
          <w:b w:val="false"/>
          <w:bCs w:val="false"/>
          <w:i w:val="false"/>
          <w:iCs w:val="false"/>
          <w:color w:val="000000"/>
          <w:sz w:val="22"/>
          <w:szCs w:val="22"/>
        </w:rPr>
        <w:t xml:space="preserve"/>
      </w:r>
    </w:p>
    <w:p>
      <w:pPr>
        <w:spacing w:after="0" w:before="200"/>
        <w:jc w:val="center"/>
      </w:pPr>
      <w:r>
        <w:rPr>
          <w:rFonts w:ascii="Arial" w:cs="Arial" w:eastAsia="Arial" w:hAnsi="Arial"/>
          <w:i/>
          <w:iCs/>
          <w:color w:val="595959"/>
          <w:sz w:val="26"/>
          <w:szCs w:val="26"/>
        </w:rPr>
        <w:t xml:space="preserve">Research Compendium — Working Document</w:t>
      </w:r>
    </w:p>
    <w:p>
      <w:pPr>
        <w:spacing w:after="0" w:before="80"/>
        <w:jc w:val="center"/>
      </w:pPr>
      <w:r>
        <w:rPr>
          <w:rFonts w:ascii="Arial" w:cs="Arial" w:eastAsia="Arial" w:hAnsi="Arial"/>
          <w:color w:val="595959"/>
          <w:sz w:val="22"/>
          <w:szCs w:val="22"/>
        </w:rPr>
        <w:t xml:space="preserve">Laboratory of Unmanned Aerial Systems (LUAS-EPN)</w:t>
      </w:r>
    </w:p>
    <w:p>
      <w:pPr>
        <w:spacing w:after="0" w:before="40"/>
        <w:jc w:val="center"/>
      </w:pPr>
      <w:r>
        <w:rPr>
          <w:rFonts w:ascii="Arial" w:cs="Arial" w:eastAsia="Arial" w:hAnsi="Arial"/>
          <w:color w:val="595959"/>
          <w:sz w:val="22"/>
          <w:szCs w:val="22"/>
        </w:rPr>
        <w:t xml:space="preserve">Escuela Politécnica Nacional  |  KU Leuven</w:t>
      </w:r>
    </w:p>
    <w:p>
      <w:pPr>
        <w:spacing w:after="2400" w:before="40"/>
        <w:jc w:val="center"/>
      </w:pPr>
      <w:r>
        <w:rPr>
          <w:rFonts w:ascii="Arial" w:cs="Arial" w:eastAsia="Arial" w:hAnsi="Arial"/>
          <w:color w:val="595959"/>
          <w:sz w:val="22"/>
          <w:szCs w:val="22"/>
        </w:rPr>
        <w:t xml:space="preserve">April 2026</w:t>
      </w:r>
    </w:p>
    <w:p>
      <w:r>
        <w:br w:type="page"/>
      </w:r>
    </w:p>
    <w:p>
      <w:pPr>
        <w:pStyle w:val="Heading1"/>
        <w:spacing w:after="120" w:before="360"/>
      </w:pPr>
      <w:r>
        <w:rPr>
          <w:rFonts w:ascii="Arial" w:cs="Arial" w:eastAsia="Arial" w:hAnsi="Arial"/>
          <w:b/>
          <w:bCs/>
          <w:color w:val="FFFFFF"/>
          <w:sz w:val="36"/>
          <w:szCs w:val="36"/>
        </w:rPr>
        <w:t xml:space="preserve">1. Origin and Motivation</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1.1 Starting Point: Winglet Research</w:t>
      </w:r>
    </w:p>
    <w:p>
      <w:pPr>
        <w:spacing w:after="80" w:before="80" w:line="276"/>
        <w:jc w:val="both"/>
      </w:pPr>
      <w:r>
        <w:rPr>
          <w:rFonts w:ascii="Arial" w:cs="Arial" w:eastAsia="Arial" w:hAnsi="Arial"/>
          <w:b w:val="false"/>
          <w:bCs w:val="false"/>
          <w:i w:val="false"/>
          <w:iCs w:val="false"/>
          <w:color w:val="000000"/>
          <w:sz w:val="22"/>
          <w:szCs w:val="22"/>
        </w:rPr>
        <w:t xml:space="preserve">The research thread began with a student project on </w:t>
      </w:r>
      <w:r>
        <w:rPr>
          <w:rFonts w:ascii="Arial" w:cs="Arial" w:eastAsia="Arial" w:hAnsi="Arial"/>
          <w:b/>
          <w:bCs/>
          <w:i w:val="false"/>
          <w:iCs w:val="false"/>
          <w:color w:val="000000"/>
          <w:sz w:val="22"/>
          <w:szCs w:val="22"/>
        </w:rPr>
        <w:t xml:space="preserve">winglet aerodynamics</w:t>
      </w:r>
      <w:r>
        <w:rPr>
          <w:rFonts w:ascii="Arial" w:cs="Arial" w:eastAsia="Arial" w:hAnsi="Arial"/>
          <w:b w:val="false"/>
          <w:bCs w:val="false"/>
          <w:i w:val="false"/>
          <w:iCs w:val="false"/>
          <w:color w:val="000000"/>
          <w:sz w:val="22"/>
          <w:szCs w:val="22"/>
        </w:rPr>
        <w:t xml:space="preserve">. A systematic survey of the literature revealed that most conventional directions — aerodynamic performance enhancement, aerodynamic shape optimization, wind tunnel experiments, propeller-wing interaction, and bio-inspired morphing winglets — are already well-populated. The central challenge became: what niche remains genuinely open?</w:t>
      </w:r>
    </w:p>
    <w:p>
      <w:pPr>
        <w:spacing w:after="80" w:before="80" w:line="276"/>
        <w:jc w:val="both"/>
      </w:pPr>
      <w:r>
        <w:rPr>
          <w:rFonts w:ascii="Arial" w:cs="Arial" w:eastAsia="Arial" w:hAnsi="Arial"/>
          <w:b w:val="false"/>
          <w:bCs w:val="false"/>
          <w:i w:val="false"/>
          <w:iCs w:val="false"/>
          <w:color w:val="000000"/>
          <w:sz w:val="22"/>
          <w:szCs w:val="22"/>
        </w:rPr>
        <w:t xml:space="preserve">The initial idea proposed was novel in its framing: rather than optimizing one winglet configuration for best performance, ask whether two or more geometrically different winglet configurations can produce equivalent aerodynamic performance. This reframing — from optimization of a single design to discovery of multiple equivalent designs — is the conceptual seed of the entire BIO framework.</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1.2 The Strategic Pivot Away from Winglets</w:t>
      </w:r>
    </w:p>
    <w:p>
      <w:pPr>
        <w:spacing w:after="80" w:before="80" w:line="276"/>
        <w:jc w:val="both"/>
      </w:pPr>
      <w:r>
        <w:rPr>
          <w:rFonts w:ascii="Arial" w:cs="Arial" w:eastAsia="Arial" w:hAnsi="Arial"/>
          <w:b w:val="false"/>
          <w:bCs w:val="false"/>
          <w:i w:val="false"/>
          <w:iCs w:val="false"/>
          <w:color w:val="000000"/>
          <w:sz w:val="22"/>
          <w:szCs w:val="22"/>
        </w:rPr>
        <w:t xml:space="preserve">Two critical weaknesses were identified in pursuing the winglet application directly:</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The primary aerodynamic solver suitable for optimization (VLM — Vortex Lattice Method) does not capture viscous drag or three-dimensional separation effects. When CFD validation is subsequently applied, the equivalences found by VLM may not hold under higher-fidelity physics, potentially invalidating the entire result.</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The research contribution — the framework itself — is more general than any single aerodynamic application. Committing to winglets too early risks burying a broad methodological advance inside a narrow domain paper.</w:t>
      </w:r>
    </w:p>
    <w:p>
      <w:pPr>
        <w:spacing w:after="80" w:before="80" w:line="276"/>
        <w:jc w:val="both"/>
      </w:pPr>
      <w:r>
        <w:rPr>
          <w:rFonts w:ascii="Arial" w:cs="Arial" w:eastAsia="Arial" w:hAnsi="Arial"/>
          <w:b w:val="false"/>
          <w:bCs w:val="false"/>
          <w:i w:val="false"/>
          <w:iCs w:val="false"/>
          <w:color w:val="000000"/>
          <w:sz w:val="22"/>
          <w:szCs w:val="22"/>
        </w:rPr>
        <w:t xml:space="preserve">The strategic decision was therefore to develop the framework on applications where the physics model is fast, closed-form or semi-analytical, and fully trustworthy — deferring the winglet application to a future paper where the framework is already validated.</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1.3 Literature Gap Confirmed</w:t>
      </w:r>
    </w:p>
    <w:p>
      <w:pPr>
        <w:spacing w:after="80" w:before="80" w:line="276"/>
        <w:jc w:val="both"/>
      </w:pPr>
      <w:r>
        <w:rPr>
          <w:rFonts w:ascii="Arial" w:cs="Arial" w:eastAsia="Arial" w:hAnsi="Arial"/>
          <w:b w:val="false"/>
          <w:bCs w:val="false"/>
          <w:i w:val="false"/>
          <w:iCs w:val="false"/>
          <w:color w:val="000000"/>
          <w:sz w:val="22"/>
          <w:szCs w:val="22"/>
        </w:rPr>
        <w:t xml:space="preserve">A targeted search confirmed that:</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Bilevel optimization is well-established in transportation, energy, economics, machine learning (meta-learning, NAS), and structural topology — but always in a leader/follower competition or hierarchy context, never as a tool for discovering equivalent designs.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In engineering design, bilevel approaches for simultaneous mechanical and control design of four-bar mechanisms exist, but none frame the lower level as an isoperformance search.</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The Roberts-Chebyshev theorem (cognate linkages) demonstrates that design equivalence is a classical concept — but computational discovery of equivalence families across design parameterization families has not been formalized as a general framework.</w:t>
      </w:r>
    </w:p>
    <w:p>
      <w:pPr>
        <w:spacing w:after="80" w:before="80" w:line="276"/>
        <w:jc w:val="both"/>
      </w:pPr>
      <w:r>
        <w:rPr>
          <w:rFonts w:ascii="Arial" w:cs="Arial" w:eastAsia="Arial" w:hAnsi="Arial"/>
          <w:b w:val="false"/>
          <w:bCs w:val="false"/>
          <w:i w:val="false"/>
          <w:iCs w:val="false"/>
          <w:color w:val="000000"/>
          <w:sz w:val="22"/>
          <w:szCs w:val="22"/>
        </w:rPr>
        <w:t xml:space="preserve">Conclusion: the </w:t>
      </w:r>
      <w:r>
        <w:rPr>
          <w:rFonts w:ascii="Arial" w:cs="Arial" w:eastAsia="Arial" w:hAnsi="Arial"/>
          <w:b/>
          <w:bCs/>
          <w:i w:val="false"/>
          <w:iCs w:val="false"/>
          <w:color w:val="000000"/>
          <w:sz w:val="22"/>
          <w:szCs w:val="22"/>
        </w:rPr>
        <w:t xml:space="preserve">BIO framework occupies genuinely unoccupied territory</w:t>
      </w:r>
      <w:r>
        <w:rPr>
          <w:rFonts w:ascii="Arial" w:cs="Arial" w:eastAsia="Arial" w:hAnsi="Arial"/>
          <w:b w:val="false"/>
          <w:bCs w:val="false"/>
          <w:i w:val="false"/>
          <w:iCs w:val="false"/>
          <w:color w:val="000000"/>
          <w:sz w:val="22"/>
          <w:szCs w:val="22"/>
        </w:rPr>
        <w:t xml:space="preserve"> in the engineering design optimization literature.</w:t>
      </w:r>
    </w:p>
    <w:p>
      <w:r>
        <w:br w:type="page"/>
      </w:r>
    </w:p>
    <w:p>
      <w:pPr>
        <w:pStyle w:val="Heading1"/>
        <w:spacing w:after="120" w:before="360"/>
      </w:pPr>
      <w:r>
        <w:rPr>
          <w:rFonts w:ascii="Arial" w:cs="Arial" w:eastAsia="Arial" w:hAnsi="Arial"/>
          <w:b/>
          <w:bCs/>
          <w:color w:val="FFFFFF"/>
          <w:sz w:val="36"/>
          <w:szCs w:val="36"/>
        </w:rPr>
        <w:t xml:space="preserve">2. Conceptual Development</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2.1 From Pairs to Families — The Correct Logical Direction</w:t>
      </w:r>
    </w:p>
    <w:p>
      <w:pPr>
        <w:spacing w:after="80" w:before="80" w:line="276"/>
        <w:jc w:val="both"/>
      </w:pPr>
      <w:r>
        <w:rPr>
          <w:rFonts w:ascii="Arial" w:cs="Arial" w:eastAsia="Arial" w:hAnsi="Arial"/>
          <w:b w:val="false"/>
          <w:bCs w:val="false"/>
          <w:i w:val="false"/>
          <w:iCs w:val="false"/>
          <w:color w:val="000000"/>
          <w:sz w:val="22"/>
          <w:szCs w:val="22"/>
        </w:rPr>
        <w:t xml:space="preserve">The framework was initially conceived in terms of finding pairs or triplets of equivalent designs. Through discussion, the correct logical ordering was established:</w:t>
      </w:r>
    </w:p>
    <w:p>
      <w:pPr>
        <w:pBdr>
          <w:left w:val="thick" w:color="2E75B6" w:sz="12" w:space="8"/>
        </w:pBdr>
        <w:shd w:fill="D6E4F0" w:val="clear"/>
        <w:spacing w:after="120" w:before="120"/>
        <w:ind w:left="400" w:right="400"/>
      </w:pPr>
      <w:r>
        <w:rPr>
          <w:rFonts w:ascii="Arial" w:cs="Arial" w:eastAsia="Arial" w:hAnsi="Arial"/>
          <w:b/>
          <w:bCs/>
          <w:i w:val="false"/>
          <w:iCs w:val="false"/>
          <w:color w:val="000000"/>
          <w:sz w:val="22"/>
          <w:szCs w:val="22"/>
        </w:rPr>
        <w:t xml:space="preserve">The isoperformance manifold </w:t>
      </w:r>
      <w:r>
        <w:rPr>
          <w:rFonts w:ascii="Arial" w:cs="Arial" w:eastAsia="Arial" w:hAnsi="Arial"/>
          <w:b w:val="false"/>
          <w:bCs w:val="false"/>
          <w:i/>
          <w:iCs/>
          <w:color w:val="000000"/>
          <w:sz w:val="22"/>
          <w:szCs w:val="22"/>
        </w:rPr>
        <w:t xml:space="preserve">ℳ is the primary mathematical object of interest. It exists as a geometric entity in shape space regardless of how many configurations are sampled from it. Pairs and triplets are merely minimal discrete sampling strategies applied to ℳ. The full BIO contribution is the characterization of ℳ across parameterization families.</w:t>
      </w:r>
    </w:p>
    <w:p>
      <w:pPr>
        <w:spacing w:after="80" w:before="80" w:line="276"/>
        <w:jc w:val="both"/>
      </w:pPr>
      <w:r>
        <w:rPr>
          <w:rFonts w:ascii="Arial" w:cs="Arial" w:eastAsia="Arial" w:hAnsi="Arial"/>
          <w:b w:val="false"/>
          <w:bCs w:val="false"/>
          <w:i w:val="false"/>
          <w:iCs w:val="false"/>
          <w:color w:val="000000"/>
          <w:sz w:val="22"/>
          <w:szCs w:val="22"/>
        </w:rPr>
        <w:t xml:space="preserve">This top-down structure — from manifold to pairs/triplets, not the reverse — is both mathematically correct and strategically stronger: it positions the framework as a general discovery tool, not an ad hoc optimization trick.</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2.2 Two Sources of Geometric Distinctness</w:t>
      </w:r>
    </w:p>
    <w:p>
      <w:pPr>
        <w:spacing w:after="80" w:before="80" w:line="276"/>
        <w:jc w:val="both"/>
      </w:pPr>
      <w:r>
        <w:rPr>
          <w:rFonts w:ascii="Arial" w:cs="Arial" w:eastAsia="Arial" w:hAnsi="Arial"/>
          <w:b w:val="false"/>
          <w:bCs w:val="false"/>
          <w:i w:val="false"/>
          <w:iCs w:val="false"/>
          <w:color w:val="000000"/>
          <w:sz w:val="22"/>
          <w:szCs w:val="22"/>
        </w:rPr>
        <w:t xml:space="preserve">A key conceptual contribution is the identification and hierarchical treatment of two distinct mechanisms that prevent equivalent designs from being trivially identical:</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Level 1: Parameterization Heterogeneity (Representation Space)</w:t>
      </w:r>
    </w:p>
    <w:p>
      <w:pPr>
        <w:spacing w:after="80" w:before="80" w:line="276"/>
        <w:jc w:val="both"/>
      </w:pPr>
      <w:r>
        <w:rPr>
          <w:rFonts w:ascii="Arial" w:cs="Arial" w:eastAsia="Arial" w:hAnsi="Arial"/>
          <w:b w:val="false"/>
          <w:bCs w:val="false"/>
          <w:i w:val="false"/>
          <w:iCs w:val="false"/>
          <w:color w:val="000000"/>
          <w:sz w:val="22"/>
          <w:szCs w:val="22"/>
        </w:rPr>
        <w:t xml:space="preserve">When x₁ and x₂ belong to structurally different parameterization families (e.g., NACA 4-digit vs. CST free-form), their parameter vectors are incommensurable — no algebraic operation connects them, and x₂ = x₁ is not even meaningful. This guarantees distinctness at the representation level by construction.</w:t>
      </w:r>
    </w:p>
    <w:p>
      <w:pPr>
        <w:spacing w:after="80" w:before="80" w:line="276"/>
        <w:jc w:val="both"/>
      </w:pPr>
      <w:r>
        <w:rPr>
          <w:rFonts w:ascii="Arial" w:cs="Arial" w:eastAsia="Arial" w:hAnsi="Arial"/>
          <w:b/>
          <w:bCs/>
          <w:i w:val="false"/>
          <w:iCs w:val="false"/>
          <w:color w:val="000000"/>
          <w:sz w:val="22"/>
          <w:szCs w:val="22"/>
        </w:rPr>
        <w:t xml:space="preserve">Important limitation: </w:t>
      </w:r>
      <w:r>
        <w:rPr>
          <w:rFonts w:ascii="Arial" w:cs="Arial" w:eastAsia="Arial" w:hAnsi="Arial"/>
          <w:b w:val="false"/>
          <w:bCs w:val="false"/>
          <w:i w:val="false"/>
          <w:iCs w:val="false"/>
          <w:color w:val="000000"/>
          <w:sz w:val="22"/>
          <w:szCs w:val="22"/>
        </w:rPr>
        <w:t xml:space="preserve">even with heterogeneous parameterizations, the inner optimizer could converge to a shape geometrically near-identical to x₁ — just expressed in different mathematical clothing. This is called </w:t>
      </w:r>
      <w:r>
        <w:rPr>
          <w:rFonts w:ascii="Arial" w:cs="Arial" w:eastAsia="Arial" w:hAnsi="Arial"/>
          <w:b w:val="false"/>
          <w:bCs w:val="false"/>
          <w:i/>
          <w:iCs/>
          <w:color w:val="000000"/>
          <w:sz w:val="22"/>
          <w:szCs w:val="22"/>
        </w:rPr>
        <w:t xml:space="preserve">representational near-triviality</w:t>
      </w:r>
      <w:r>
        <w:rPr>
          <w:rFonts w:ascii="Arial" w:cs="Arial" w:eastAsia="Arial" w:hAnsi="Arial"/>
          <w:b w:val="false"/>
          <w:bCs w:val="false"/>
          <w:i w:val="false"/>
          <w:iCs w:val="false"/>
          <w:color w:val="000000"/>
          <w:sz w:val="22"/>
          <w:szCs w:val="22"/>
        </w:rPr>
        <w:t xml:space="preserve">, and parameterization heterogeneity alone does not prevent it.</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Level 2: Shape-Space Diversity Constraint δ (Geometry Space)</w:t>
      </w:r>
    </w:p>
    <w:p>
      <w:pPr>
        <w:spacing w:after="80" w:before="80" w:line="276"/>
        <w:jc w:val="both"/>
      </w:pPr>
      <w:r>
        <w:rPr>
          <w:rFonts w:ascii="Arial" w:cs="Arial" w:eastAsia="Arial" w:hAnsi="Arial"/>
          <w:b w:val="false"/>
          <w:bCs w:val="false"/>
          <w:i w:val="false"/>
          <w:iCs w:val="false"/>
          <w:color w:val="000000"/>
          <w:sz w:val="22"/>
          <w:szCs w:val="22"/>
        </w:rPr>
        <w:t xml:space="preserve">The constraint dS(x₁, xᵢ) ≥ δ operates in the common shape space S through the realization maps φᵢ. It enforces a minimum geometric separation between designs in their physical form, regardless of parameterization. This is always required — even with heterogeneous parameterizations.</w:t>
      </w:r>
    </w:p>
    <w:p>
      <w:pPr>
        <w:spacing w:after="80" w:before="80" w:line="276"/>
        <w:jc w:val="both"/>
      </w:pPr>
      <w:r>
        <w:rPr>
          <w:rFonts w:ascii="Arial" w:cs="Arial" w:eastAsia="Arial" w:hAnsi="Arial"/>
          <w:b/>
          <w:bCs/>
          <w:i w:val="false"/>
          <w:iCs w:val="false"/>
          <w:color w:val="000000"/>
          <w:sz w:val="22"/>
          <w:szCs w:val="22"/>
        </w:rPr>
        <w:t xml:space="preserve">Critical property: </w:t>
      </w:r>
      <w:r>
        <w:rPr>
          <w:rFonts w:ascii="Arial" w:cs="Arial" w:eastAsia="Arial" w:hAnsi="Arial"/>
          <w:b w:val="false"/>
          <w:bCs w:val="false"/>
          <w:i w:val="false"/>
          <w:iCs w:val="false"/>
          <w:color w:val="000000"/>
          <w:sz w:val="22"/>
          <w:szCs w:val="22"/>
        </w:rPr>
        <w:t xml:space="preserve">δ is defined in shape space S, not in parameter space, making it parameterization-agnostic. When parameterizations are incommensurable, only shape-space distance is meaningful.</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The Hierarchical Relationship</w:t>
      </w:r>
    </w:p>
    <w:p>
      <w:pPr>
        <w:spacing w:after="80" w:before="80" w:line="276"/>
        <w:jc w:val="both"/>
      </w:pPr>
      <w:r>
        <w:rPr>
          <w:rFonts w:ascii="Arial" w:cs="Arial" w:eastAsia="Arial" w:hAnsi="Arial"/>
          <w:b w:val="false"/>
          <w:bCs w:val="false"/>
          <w:i w:val="false"/>
          <w:iCs w:val="false"/>
          <w:color w:val="000000"/>
          <w:sz w:val="22"/>
          <w:szCs w:val="22"/>
        </w:rPr>
        <w:t xml:space="preserve">These two mechanisms are complementary and non-interchangeable: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1800"/>
        <w:gridCol w:w="18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Prevents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Always Required?</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Parameterization heterogeneity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Parameter-level triviality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No (optional feature)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Representation space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δ in shape space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Geometric near-triviality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Yes, always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Shape space S</w:t>
            </w:r>
          </w:p>
        </w:tc>
      </w:tr>
    </w:tbl>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2.3 The Airfoil Case — Enforcing Meaningful Heterogeneity</w:t>
      </w:r>
    </w:p>
    <w:p>
      <w:pPr>
        <w:spacing w:after="80" w:before="80" w:line="276"/>
        <w:jc w:val="both"/>
      </w:pPr>
      <w:r>
        <w:rPr>
          <w:rFonts w:ascii="Arial" w:cs="Arial" w:eastAsia="Arial" w:hAnsi="Arial"/>
          <w:b w:val="false"/>
          <w:bCs w:val="false"/>
          <w:i w:val="false"/>
          <w:iCs w:val="false"/>
          <w:color w:val="000000"/>
          <w:sz w:val="22"/>
          <w:szCs w:val="22"/>
        </w:rPr>
        <w:t xml:space="preserve">An important observation was made about the airfoil application: if both configurations use the same parameterization family (e.g., both CST), the inner optimizer will find near-trivial solutions — geometrically similar profiles with only minor perturbations. The equivalent pair would not be interesting.</w:t>
      </w:r>
    </w:p>
    <w:p>
      <w:pPr>
        <w:spacing w:after="80" w:before="80" w:line="276"/>
        <w:jc w:val="both"/>
      </w:pPr>
      <w:r>
        <w:rPr>
          <w:rFonts w:ascii="Arial" w:cs="Arial" w:eastAsia="Arial" w:hAnsi="Arial"/>
          <w:b w:val="false"/>
          <w:bCs w:val="false"/>
          <w:i w:val="false"/>
          <w:iCs w:val="false"/>
          <w:color w:val="000000"/>
          <w:sz w:val="22"/>
          <w:szCs w:val="22"/>
        </w:rPr>
        <w:t xml:space="preserve">The fix is to enforce parameterization heterogeneity by design:</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x₁ lives in the NACA 4-series family (3 parameters: max camber, camber position, max thickness) — an analytical family with constrained geometry</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x₂ lives in the CST free-form family (6–8 coefficients) — an unconstrained family capable of diverse shapes</w:t>
      </w:r>
    </w:p>
    <w:p>
      <w:pPr>
        <w:spacing w:after="80" w:before="80" w:line="276"/>
        <w:jc w:val="both"/>
      </w:pPr>
      <w:r>
        <w:rPr>
          <w:rFonts w:ascii="Arial" w:cs="Arial" w:eastAsia="Arial" w:hAnsi="Arial"/>
          <w:b w:val="false"/>
          <w:bCs w:val="false"/>
          <w:i w:val="false"/>
          <w:iCs w:val="false"/>
          <w:color w:val="000000"/>
          <w:sz w:val="22"/>
          <w:szCs w:val="22"/>
        </w:rPr>
        <w:t xml:space="preserve">The research question becomes: what free-form airfoil is aerodynamically equivalent to a given NACA profile? The answer is non-trivial, physically meaningful, and directly analogous to the structural cross-section case where topology differs fundamentally.</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2.4 The Feasibility Issue — Not All Equivalents Exist</w:t>
      </w:r>
    </w:p>
    <w:p>
      <w:pPr>
        <w:spacing w:after="80" w:before="80" w:line="276"/>
        <w:jc w:val="both"/>
      </w:pPr>
      <w:r>
        <w:rPr>
          <w:rFonts w:ascii="Arial" w:cs="Arial" w:eastAsia="Arial" w:hAnsi="Arial"/>
          <w:b w:val="false"/>
          <w:bCs w:val="false"/>
          <w:i w:val="false"/>
          <w:iCs w:val="false"/>
          <w:color w:val="000000"/>
          <w:sz w:val="22"/>
          <w:szCs w:val="22"/>
        </w:rPr>
        <w:t xml:space="preserve">A fundamental observation: delta guarantees geometric distinctness, but says nothing about whether a geometrically distinct equivalent actually exists. These are independent conditions. Three situations arise:</w:t>
      </w:r>
    </w:p>
    <w:p>
      <w:pPr>
        <w:spacing w:after="0" w:before="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Situation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 Structure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Inner Problem</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A — Rich manifold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Positive-dimensional (continuous family)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Feasible, many solutions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Structural sections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B — Thin manifold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Zero-dimensional (isolated points)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May be infeasible if all inside δ-ball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Four-bar cognates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 — No distinct equivalent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Single point or inside δ-ball entirely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Infeasible by construction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Over-constrained airfoil</w:t>
            </w:r>
          </w:p>
        </w:tc>
      </w:tr>
    </w:tbl>
    <w:p>
      <w:pPr>
        <w:spacing w:after="0" w:before="80"/>
      </w:pPr>
      <w:r>
        <w:rPr>
          <w:rFonts w:ascii="Arial" w:cs="Arial" w:eastAsia="Arial" w:hAnsi="Arial"/>
          <w:b w:val="false"/>
          <w:bCs w:val="false"/>
          <w:i w:val="false"/>
          <w:iCs w:val="false"/>
          <w:color w:val="000000"/>
          <w:sz w:val="22"/>
          <w:szCs w:val="22"/>
        </w:rPr>
        <w:t xml:space="preserve"/>
      </w:r>
    </w:p>
    <w:p>
      <w:pPr>
        <w:spacing w:after="80" w:before="80" w:line="276"/>
        <w:jc w:val="both"/>
      </w:pPr>
      <w:r>
        <w:rPr>
          <w:rFonts w:ascii="Arial" w:cs="Arial" w:eastAsia="Arial" w:hAnsi="Arial"/>
          <w:b/>
          <w:bCs/>
          <w:i w:val="false"/>
          <w:iCs w:val="false"/>
          <w:color w:val="000000"/>
          <w:sz w:val="22"/>
          <w:szCs w:val="22"/>
        </w:rPr>
        <w:t xml:space="preserve">The dimensional formula </w:t>
      </w:r>
      <w:r>
        <w:rPr>
          <w:rFonts w:ascii="Arial" w:cs="Arial" w:eastAsia="Arial" w:hAnsi="Arial"/>
          <w:b w:val="false"/>
          <w:bCs w:val="false"/>
          <w:i/>
          <w:iCs/>
          <w:color w:val="000000"/>
          <w:sz w:val="22"/>
          <w:szCs w:val="22"/>
        </w:rPr>
        <w:t xml:space="preserve">dim(ℳ) = dim(S) − m</w:t>
      </w:r>
      <w:r>
        <w:rPr>
          <w:rFonts w:ascii="Arial" w:cs="Arial" w:eastAsia="Arial" w:hAnsi="Arial"/>
          <w:b w:val="false"/>
          <w:bCs w:val="false"/>
          <w:i w:val="false"/>
          <w:iCs w:val="false"/>
          <w:color w:val="000000"/>
          <w:sz w:val="22"/>
          <w:szCs w:val="22"/>
        </w:rPr>
        <w:t xml:space="preserve"> predicts which situation applies before running any optimization. If m &lt; dim(S), Situation A is expected. If m ≥ dim(S), the manifold is at most zero-dimensional.</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2.5 Layered Framework Structure</w:t>
      </w:r>
    </w:p>
    <w:p>
      <w:pPr>
        <w:spacing w:after="80" w:before="80" w:line="276"/>
        <w:jc w:val="both"/>
      </w:pPr>
      <w:r>
        <w:rPr>
          <w:rFonts w:ascii="Arial" w:cs="Arial" w:eastAsia="Arial" w:hAnsi="Arial"/>
          <w:b w:val="false"/>
          <w:bCs w:val="false"/>
          <w:i w:val="false"/>
          <w:iCs w:val="false"/>
          <w:color w:val="000000"/>
          <w:sz w:val="22"/>
          <w:szCs w:val="22"/>
        </w:rPr>
        <w:t xml:space="preserve">The feasibility concern motivates a layered structure for both the framework and the paper:</w:t>
      </w:r>
    </w:p>
    <w:p>
      <w:pPr>
        <w:pStyle w:val="ListParagraph"/>
        <w:numPr>
          <w:ilvl w:val="0"/>
          <w:numId w:val="3"/>
        </w:numPr>
        <w:spacing w:after="60" w:before="60"/>
      </w:pPr>
      <w:r>
        <w:rPr>
          <w:rFonts w:ascii="Arial" w:cs="Arial" w:eastAsia="Arial" w:hAnsi="Arial"/>
          <w:b/>
          <w:bCs/>
          <w:i w:val="false"/>
          <w:iCs w:val="false"/>
          <w:color w:val="000000"/>
          <w:sz w:val="22"/>
          <w:szCs w:val="22"/>
        </w:rPr>
        <w:t xml:space="preserve">Layer 1 — Existence: </w:t>
      </w:r>
      <w:r>
        <w:rPr>
          <w:rFonts w:ascii="Arial" w:cs="Arial" w:eastAsia="Arial" w:hAnsi="Arial"/>
          <w:b w:val="false"/>
          <w:bCs w:val="false"/>
          <w:i w:val="false"/>
          <w:iCs w:val="false"/>
          <w:color w:val="000000"/>
          <w:sz w:val="22"/>
          <w:szCs w:val="22"/>
        </w:rPr>
        <w:t xml:space="preserve">Confirm that at least one geometrically distinct equivalent exists (pair problem, N=2). This is the necessary first result.</w:t>
      </w:r>
    </w:p>
    <w:p>
      <w:pPr>
        <w:pStyle w:val="ListParagraph"/>
        <w:numPr>
          <w:ilvl w:val="0"/>
          <w:numId w:val="3"/>
        </w:numPr>
        <w:spacing w:after="60" w:before="60"/>
      </w:pPr>
      <w:r>
        <w:rPr>
          <w:rFonts w:ascii="Arial" w:cs="Arial" w:eastAsia="Arial" w:hAnsi="Arial"/>
          <w:b/>
          <w:bCs/>
          <w:i w:val="false"/>
          <w:iCs w:val="false"/>
          <w:color w:val="000000"/>
          <w:sz w:val="22"/>
          <w:szCs w:val="22"/>
        </w:rPr>
        <w:t xml:space="preserve">Layer 2 — Multiplicity: </w:t>
      </w:r>
      <w:r>
        <w:rPr>
          <w:rFonts w:ascii="Arial" w:cs="Arial" w:eastAsia="Arial" w:hAnsi="Arial"/>
          <w:b w:val="false"/>
          <w:bCs w:val="false"/>
          <w:i w:val="false"/>
          <w:iCs w:val="false"/>
          <w:color w:val="000000"/>
          <w:sz w:val="22"/>
          <w:szCs w:val="22"/>
        </w:rPr>
        <w:t xml:space="preserve">If existence is confirmed, find additional equivalent designs through sequential diversity sampling within the inner loop.</w:t>
      </w:r>
    </w:p>
    <w:p>
      <w:pPr>
        <w:pStyle w:val="ListParagraph"/>
        <w:numPr>
          <w:ilvl w:val="0"/>
          <w:numId w:val="3"/>
        </w:numPr>
        <w:spacing w:after="60" w:before="60"/>
      </w:pPr>
      <w:r>
        <w:rPr>
          <w:rFonts w:ascii="Arial" w:cs="Arial" w:eastAsia="Arial" w:hAnsi="Arial"/>
          <w:b/>
          <w:bCs/>
          <w:i w:val="false"/>
          <w:iCs w:val="false"/>
          <w:color w:val="000000"/>
          <w:sz w:val="22"/>
          <w:szCs w:val="22"/>
        </w:rPr>
        <w:t xml:space="preserve">Layer 3 — Structure: </w:t>
      </w:r>
      <w:r>
        <w:rPr>
          <w:rFonts w:ascii="Arial" w:cs="Arial" w:eastAsia="Arial" w:hAnsi="Arial"/>
          <w:b w:val="false"/>
          <w:bCs w:val="false"/>
          <w:i w:val="false"/>
          <w:iCs w:val="false"/>
          <w:color w:val="000000"/>
          <w:sz w:val="22"/>
          <w:szCs w:val="22"/>
        </w:rPr>
        <w:t xml:space="preserve">Characterize the geometric and parametric structure of the equivalence family through dimensionality reduction (PCA, UMAP).</w:t>
      </w:r>
    </w:p>
    <w:p>
      <w:pPr>
        <w:spacing w:after="80" w:before="80" w:line="276"/>
        <w:jc w:val="both"/>
      </w:pPr>
      <w:r>
        <w:rPr>
          <w:rFonts w:ascii="Arial" w:cs="Arial" w:eastAsia="Arial" w:hAnsi="Arial"/>
          <w:b w:val="false"/>
          <w:bCs w:val="false"/>
          <w:i w:val="false"/>
          <w:iCs w:val="false"/>
          <w:color w:val="000000"/>
          <w:sz w:val="22"/>
          <w:szCs w:val="22"/>
        </w:rPr>
        <w:t xml:space="preserve">This layered structure provides graceful degradation: if the manifold is sparse for a given application, that finding is reported and explained through the dimensional formula — which is itself a publishable result about the design space.</w:t>
      </w:r>
    </w:p>
    <w:p>
      <w:r>
        <w:br w:type="page"/>
      </w:r>
    </w:p>
    <w:p>
      <w:pPr>
        <w:pStyle w:val="Heading1"/>
        <w:spacing w:after="120" w:before="360"/>
      </w:pPr>
      <w:r>
        <w:rPr>
          <w:rFonts w:ascii="Arial" w:cs="Arial" w:eastAsia="Arial" w:hAnsi="Arial"/>
          <w:b/>
          <w:bCs/>
          <w:color w:val="FFFFFF"/>
          <w:sz w:val="36"/>
          <w:szCs w:val="36"/>
        </w:rPr>
        <w:t xml:space="preserve">3. Mathematical Framework</w:t>
      </w:r>
    </w:p>
    <w:p>
      <w:pPr>
        <w:spacing w:after="0" w:before="80"/>
      </w:pPr>
      <w:r>
        <w:rPr>
          <w:rFonts w:ascii="Arial" w:cs="Arial" w:eastAsia="Arial" w:hAnsi="Arial"/>
          <w:b w:val="false"/>
          <w:bCs w:val="false"/>
          <w:i w:val="false"/>
          <w:iCs w:val="false"/>
          <w:color w:val="000000"/>
          <w:sz w:val="22"/>
          <w:szCs w:val="22"/>
        </w:rPr>
        <w:t xml:space="preserve"/>
      </w:r>
    </w:p>
    <w:p>
      <w:pPr>
        <w:pBdr>
          <w:left w:val="thick" w:color="2E75B6" w:sz="12" w:space="8"/>
        </w:pBdr>
        <w:shd w:fill="D6E4F0" w:val="clear"/>
        <w:spacing w:after="120" w:before="120"/>
        <w:ind w:left="400" w:right="400"/>
      </w:pPr>
      <w:r>
        <w:rPr>
          <w:rFonts w:ascii="Arial" w:cs="Arial" w:eastAsia="Arial" w:hAnsi="Arial"/>
          <w:b/>
          <w:bCs/>
          <w:i w:val="false"/>
          <w:iCs w:val="false"/>
          <w:color w:val="000000"/>
          <w:sz w:val="22"/>
          <w:szCs w:val="22"/>
        </w:rPr>
        <w:t xml:space="preserve">Logical order: </w:t>
      </w:r>
      <w:r>
        <w:rPr>
          <w:rFonts w:ascii="Arial" w:cs="Arial" w:eastAsia="Arial" w:hAnsi="Arial"/>
          <w:b w:val="false"/>
          <w:bCs w:val="false"/>
          <w:i/>
          <w:iCs/>
          <w:color w:val="000000"/>
          <w:sz w:val="22"/>
          <w:szCs w:val="22"/>
        </w:rPr>
        <w:t xml:space="preserve">The isoperformance manifold ℳ is defined first as the primary object. The bilevel optimization problem is the computational mechanism for finding and characterizing it. Pairs and triplets are derived as minimal instances. The framework carries no domain-specific language — 'evaluation parameters' α replace domain-specific terms like 'operating conditions' or 'load cases'.</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3.1 Fundamental Spaces and Notation</w:t>
      </w:r>
    </w:p>
    <w:p>
      <w:pPr>
        <w:spacing w:after="80" w:before="80" w:line="276"/>
        <w:jc w:val="both"/>
      </w:pPr>
      <w:r>
        <w:rPr>
          <w:rFonts w:ascii="Arial" w:cs="Arial" w:eastAsia="Arial" w:hAnsi="Arial"/>
          <w:b w:val="false"/>
          <w:bCs w:val="false"/>
          <w:i w:val="false"/>
          <w:iCs w:val="false"/>
          <w:color w:val="000000"/>
          <w:sz w:val="22"/>
          <w:szCs w:val="22"/>
        </w:rPr>
        <w:t xml:space="preserve">Let S denote the common shape space — a normed vector space of physical geometric representations shared by all parameterization families. Its specific realization is domain-dependent:</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Airfoils: discretized surface coordinate vectors at Ns fixed chord-wise stations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Structural cross-sections: discretized boundary curve vectors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Spring-mass-dampers: physical parameter triple [m, k, c] — degenerate case where shape space and parameter space coincide</w:t>
      </w:r>
    </w:p>
    <w:p>
      <w:pPr>
        <w:spacing w:after="80" w:before="80" w:line="276"/>
        <w:jc w:val="both"/>
      </w:pPr>
      <w:r>
        <w:rPr>
          <w:rFonts w:ascii="Arial" w:cs="Arial" w:eastAsia="Arial" w:hAnsi="Arial"/>
          <w:b w:val="false"/>
          <w:bCs w:val="false"/>
          <w:i w:val="false"/>
          <w:iCs w:val="false"/>
          <w:color w:val="000000"/>
          <w:sz w:val="22"/>
          <w:szCs w:val="22"/>
        </w:rPr>
        <w:t xml:space="preserve">Let A denote the evaluation parameter space — the set of external inputs at which performance is assessed. A single element α ∈ A is an evaluation parameter. Domain-specific interpretations: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Fluid systems (airfoils): aerodynamic state (angle of attack, Reynolds number, Mach number)</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Structural systems: load case (force magnitude, direction, distribution)</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Dynamic systems (oscillators): excitation frequency ω</w:t>
      </w:r>
    </w:p>
    <w:p>
      <w:pPr>
        <w:spacing w:after="80" w:before="80" w:line="276"/>
        <w:jc w:val="both"/>
      </w:pPr>
      <w:r>
        <w:rPr>
          <w:rFonts w:ascii="Arial" w:cs="Arial" w:eastAsia="Arial" w:hAnsi="Arial"/>
          <w:b w:val="false"/>
          <w:bCs w:val="false"/>
          <w:i w:val="false"/>
          <w:iCs w:val="false"/>
          <w:color w:val="000000"/>
          <w:sz w:val="22"/>
          <w:szCs w:val="22"/>
        </w:rPr>
        <w:t xml:space="preserve">The framework treats A abstractly — no domain-specific term appears in the formulation.</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3.2 The Performance Map</w:t>
      </w:r>
    </w:p>
    <w:p>
      <w:pPr>
        <w:spacing w:after="80" w:before="80" w:line="276"/>
        <w:jc w:val="both"/>
      </w:pPr>
      <w:r>
        <w:rPr>
          <w:rFonts w:ascii="Arial" w:cs="Arial" w:eastAsia="Arial" w:hAnsi="Arial"/>
          <w:b w:val="false"/>
          <w:bCs w:val="false"/>
          <w:i w:val="false"/>
          <w:iCs w:val="false"/>
          <w:color w:val="000000"/>
          <w:sz w:val="22"/>
          <w:szCs w:val="22"/>
        </w:rPr>
        <w:t xml:space="preserve">Let f : S × A → ℝᵐ be the performance map, assigning to each shape-evaluation pair a vector of m scalar performance quantities:</w:t>
      </w:r>
    </w:p>
    <w:p>
      <w:pPr>
        <w:shd w:fill="F2F2F2" w:val="clear"/>
        <w:spacing w:after="120" w:before="120"/>
        <w:jc w:val="center"/>
      </w:pPr>
      <w:r>
        <w:rPr>
          <w:rFonts w:ascii="Cambria Math" w:cs="Cambria Math" w:eastAsia="Cambria Math" w:hAnsi="Cambria Math"/>
          <w:i/>
          <w:iCs/>
          <w:color w:val="1F4E79"/>
          <w:sz w:val="22"/>
          <w:szCs w:val="22"/>
        </w:rPr>
        <w:t xml:space="preserve">f(s, α) = [f₁(s,α),  f₂(s,α),  …,  fₘ(s,α)]ᵀ</w:t>
      </w:r>
    </w:p>
    <w:p>
      <w:pPr>
        <w:spacing w:after="80" w:before="80" w:line="276"/>
        <w:jc w:val="both"/>
      </w:pPr>
      <w:r>
        <w:rPr>
          <w:rFonts w:ascii="Arial" w:cs="Arial" w:eastAsia="Arial" w:hAnsi="Arial"/>
          <w:b w:val="false"/>
          <w:bCs w:val="false"/>
          <w:i w:val="false"/>
          <w:iCs w:val="false"/>
          <w:color w:val="000000"/>
          <w:sz w:val="22"/>
          <w:szCs w:val="22"/>
        </w:rPr>
        <w:t xml:space="preserve">The performance map encodes all physics of the problem. It is assumed continuous and evaluable by a computational model appropriate to the application (XFOIL for airfoils, closed-form integrals for sections, transfer functions for oscillators).</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3.3 Parameterization Families and Realization Maps</w:t>
      </w:r>
    </w:p>
    <w:p>
      <w:pPr>
        <w:spacing w:after="80" w:before="80" w:line="276"/>
        <w:jc w:val="both"/>
      </w:pPr>
      <w:r>
        <w:rPr>
          <w:rFonts w:ascii="Arial" w:cs="Arial" w:eastAsia="Arial" w:hAnsi="Arial"/>
          <w:b w:val="false"/>
          <w:bCs w:val="false"/>
          <w:i w:val="false"/>
          <w:iCs w:val="false"/>
          <w:color w:val="000000"/>
          <w:sz w:val="22"/>
          <w:szCs w:val="22"/>
        </w:rPr>
        <w:t xml:space="preserve">Let N design parameterization families be defined, indexed i = 1, …, N, each with:</w:t>
      </w:r>
    </w:p>
    <w:p>
      <w:pPr>
        <w:shd w:fill="F2F2F2" w:val="clear"/>
        <w:spacing w:after="120" w:before="120"/>
        <w:jc w:val="center"/>
      </w:pPr>
      <w:r>
        <w:rPr>
          <w:rFonts w:ascii="Cambria Math" w:cs="Cambria Math" w:eastAsia="Cambria Math" w:hAnsi="Cambria Math"/>
          <w:i/>
          <w:iCs/>
          <w:color w:val="1F4E79"/>
          <w:sz w:val="22"/>
          <w:szCs w:val="22"/>
        </w:rPr>
        <w:t xml:space="preserve">xᵢ ∈ Xᵢ ⊆ ℝⁿⁱ</w:t>
      </w:r>
    </w:p>
    <w:p>
      <w:pPr>
        <w:spacing w:after="80" w:before="80" w:line="276"/>
        <w:jc w:val="both"/>
      </w:pPr>
      <w:r>
        <w:rPr>
          <w:rFonts w:ascii="Arial" w:cs="Arial" w:eastAsia="Arial" w:hAnsi="Arial"/>
          <w:b w:val="false"/>
          <w:bCs w:val="false"/>
          <w:i w:val="false"/>
          <w:iCs w:val="false"/>
          <w:color w:val="000000"/>
          <w:sz w:val="22"/>
          <w:szCs w:val="22"/>
        </w:rPr>
        <w:t xml:space="preserve">where Xᵢ is compact and encodes physical feasibility. Families may have different dimensions nᵢ and different algebraic structure — this is the heterogeneous parameterization setting. No algebraic operation between xᵢ and xⱼ for i ≠ j is assumed.</w:t>
      </w:r>
    </w:p>
    <w:p>
      <w:pPr>
        <w:spacing w:after="80" w:before="80" w:line="276"/>
        <w:jc w:val="both"/>
      </w:pPr>
      <w:r>
        <w:rPr>
          <w:rFonts w:ascii="Arial" w:cs="Arial" w:eastAsia="Arial" w:hAnsi="Arial"/>
          <w:b w:val="false"/>
          <w:bCs w:val="false"/>
          <w:i w:val="false"/>
          <w:iCs w:val="false"/>
          <w:color w:val="000000"/>
          <w:sz w:val="22"/>
          <w:szCs w:val="22"/>
        </w:rPr>
        <w:t xml:space="preserve">Each family is connected to shape space through a realization map:</w:t>
      </w:r>
    </w:p>
    <w:p>
      <w:pPr>
        <w:shd w:fill="F2F2F2" w:val="clear"/>
        <w:spacing w:after="120" w:before="120"/>
        <w:jc w:val="center"/>
      </w:pPr>
      <w:r>
        <w:rPr>
          <w:rFonts w:ascii="Cambria Math" w:cs="Cambria Math" w:eastAsia="Cambria Math" w:hAnsi="Cambria Math"/>
          <w:i/>
          <w:iCs/>
          <w:color w:val="1F4E79"/>
          <w:sz w:val="22"/>
          <w:szCs w:val="22"/>
        </w:rPr>
        <w:t xml:space="preserve">φᵢ : Xᵢ → S ,    i = 1, …, N</w:t>
      </w:r>
    </w:p>
    <w:p>
      <w:pPr>
        <w:spacing w:after="80" w:before="80" w:line="276"/>
        <w:jc w:val="both"/>
      </w:pPr>
      <w:r>
        <w:rPr>
          <w:rFonts w:ascii="Arial" w:cs="Arial" w:eastAsia="Arial" w:hAnsi="Arial"/>
          <w:b w:val="false"/>
          <w:bCs w:val="false"/>
          <w:i w:val="false"/>
          <w:iCs w:val="false"/>
          <w:color w:val="000000"/>
          <w:sz w:val="22"/>
          <w:szCs w:val="22"/>
        </w:rPr>
        <w:t xml:space="preserve">assumed continuous. The parametric performance map for family i is:</w:t>
      </w:r>
    </w:p>
    <w:p>
      <w:pPr>
        <w:shd w:fill="F2F2F2" w:val="clear"/>
        <w:spacing w:after="120" w:before="120"/>
        <w:jc w:val="center"/>
      </w:pPr>
      <w:r>
        <w:rPr>
          <w:rFonts w:ascii="Cambria Math" w:cs="Cambria Math" w:eastAsia="Cambria Math" w:hAnsi="Cambria Math"/>
          <w:i/>
          <w:iCs/>
          <w:color w:val="1F4E79"/>
          <w:sz w:val="22"/>
          <w:szCs w:val="22"/>
        </w:rPr>
        <w:t xml:space="preserve">Fᵢ(xᵢ, α) := f(φᵢ(xᵢ), α)</w:t>
      </w:r>
    </w:p>
    <w:p>
      <w:pPr>
        <w:spacing w:after="80" w:before="80" w:line="276"/>
        <w:jc w:val="both"/>
      </w:pPr>
      <w:r>
        <w:rPr>
          <w:rFonts w:ascii="Arial" w:cs="Arial" w:eastAsia="Arial" w:hAnsi="Arial"/>
          <w:b w:val="false"/>
          <w:bCs w:val="false"/>
          <w:i w:val="false"/>
          <w:iCs w:val="false"/>
          <w:color w:val="000000"/>
          <w:sz w:val="22"/>
          <w:szCs w:val="22"/>
        </w:rPr>
        <w:t xml:space="preserve">The shape-space distance between any two configurations from any two families is:</w:t>
      </w:r>
    </w:p>
    <w:p>
      <w:pPr>
        <w:shd w:fill="F2F2F2" w:val="clear"/>
        <w:spacing w:after="120" w:before="120"/>
        <w:jc w:val="center"/>
      </w:pPr>
      <w:r>
        <w:rPr>
          <w:rFonts w:ascii="Cambria Math" w:cs="Cambria Math" w:eastAsia="Cambria Math" w:hAnsi="Cambria Math"/>
          <w:i/>
          <w:iCs/>
          <w:color w:val="1F4E79"/>
          <w:sz w:val="22"/>
          <w:szCs w:val="22"/>
        </w:rPr>
        <w:t xml:space="preserve">dS(xᵢ, xⱼ) := ‖φᵢ(xᵢ) − φⱼ(xⱼ)‖_S</w:t>
      </w:r>
    </w:p>
    <w:p>
      <w:pPr>
        <w:spacing w:after="80" w:before="80" w:line="276"/>
        <w:jc w:val="both"/>
      </w:pPr>
      <w:r>
        <w:rPr>
          <w:rFonts w:ascii="Arial" w:cs="Arial" w:eastAsia="Arial" w:hAnsi="Arial"/>
          <w:b w:val="false"/>
          <w:bCs w:val="false"/>
          <w:i w:val="false"/>
          <w:iCs w:val="false"/>
          <w:color w:val="000000"/>
          <w:sz w:val="22"/>
          <w:szCs w:val="22"/>
        </w:rPr>
        <w:t xml:space="preserve">This is well-defined for all pairs (i,j), including i = j (within-family) and i ≠ j (cross-family). For degenerate cases (spring-mass-dampers), dS reduces to a weighted Euclidean distance in physical parameter space.</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3.4 The Cross-Configuration Performance Residual</w:t>
      </w:r>
    </w:p>
    <w:p>
      <w:pPr>
        <w:spacing w:after="80" w:before="80" w:line="276"/>
        <w:jc w:val="both"/>
      </w:pPr>
      <w:r>
        <w:rPr>
          <w:rFonts w:ascii="Arial" w:cs="Arial" w:eastAsia="Arial" w:hAnsi="Arial"/>
          <w:b w:val="false"/>
          <w:bCs w:val="false"/>
          <w:i w:val="false"/>
          <w:iCs w:val="false"/>
          <w:color w:val="000000"/>
          <w:sz w:val="22"/>
          <w:szCs w:val="22"/>
        </w:rPr>
        <w:t xml:space="preserve">To compare performance between two designs across all evaluation parameters, in a dimensionless and physically interpretable way, define the normalized cross-configuration performance residual:</w:t>
      </w:r>
    </w:p>
    <w:p>
      <w:pPr>
        <w:shd w:fill="F2F2F2" w:val="clear"/>
        <w:spacing w:after="120" w:before="120"/>
        <w:jc w:val="center"/>
      </w:pPr>
      <w:r>
        <w:rPr>
          <w:rFonts w:ascii="Cambria Math" w:cs="Cambria Math" w:eastAsia="Cambria Math" w:hAnsi="Cambria Math"/>
          <w:i/>
          <w:iCs/>
          <w:color w:val="1F4E79"/>
          <w:sz w:val="22"/>
          <w:szCs w:val="22"/>
        </w:rPr>
        <w:t xml:space="preserve">ℛ(x₁, xᵢ) := Σⱼ ωⱼ Σₖ wₖ [ (F₁ₖ(x₁, α⁽ʲ⁾) − Fᵢₖ(xᵢ, α⁽ʲ⁾)) / fₖʳᵉᶠ ]²</w:t>
      </w:r>
    </w:p>
    <w:p>
      <w:pPr>
        <w:spacing w:after="80" w:before="80" w:line="276"/>
        <w:jc w:val="both"/>
      </w:pPr>
      <w:r>
        <w:rPr>
          <w:rFonts w:ascii="Arial" w:cs="Arial" w:eastAsia="Arial" w:hAnsi="Arial"/>
          <w:b w:val="false"/>
          <w:bCs w:val="false"/>
          <w:i w:val="false"/>
          <w:iCs w:val="false"/>
          <w:color w:val="000000"/>
          <w:sz w:val="22"/>
          <w:szCs w:val="22"/>
        </w:rPr>
        <w:t xml:space="preserve">where:</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ωⱼ &gt; 0 are evaluation parameter weights with Σⱼ ωⱼ = 1 — weight the importance of each evaluation parameter</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wₖ &gt; 0 are performance metric weights with Σₖ wₖ = 1 — normalize across performance components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fₖʳᵉᶠ &gt; 0 are reference values making ℛ dimensionless — natural choice: |F₁ₖ(x₁⁽⁰⁾, α⁽¹⁾)| evaluated at a fixed baseline x₁⁽⁰⁾ computed once before optimization begins</w:t>
      </w:r>
    </w:p>
    <w:p>
      <w:pPr>
        <w:spacing w:after="80" w:before="80" w:line="276"/>
        <w:jc w:val="both"/>
      </w:pPr>
      <w:r>
        <w:rPr>
          <w:rFonts w:ascii="Arial" w:cs="Arial" w:eastAsia="Arial" w:hAnsi="Arial"/>
          <w:b/>
          <w:bCs/>
          <w:i w:val="false"/>
          <w:iCs w:val="false"/>
          <w:color w:val="000000"/>
          <w:sz w:val="22"/>
          <w:szCs w:val="22"/>
        </w:rPr>
        <w:t xml:space="preserve">Critical property: </w:t>
      </w:r>
      <w:r>
        <w:rPr>
          <w:rFonts w:ascii="Arial" w:cs="Arial" w:eastAsia="Arial" w:hAnsi="Arial"/>
          <w:b w:val="false"/>
          <w:bCs w:val="false"/>
          <w:i w:val="false"/>
          <w:iCs w:val="false"/>
          <w:color w:val="000000"/>
          <w:sz w:val="22"/>
          <w:szCs w:val="22"/>
        </w:rPr>
        <w:t xml:space="preserve">F₁(x₁, ·) in the residual is not fixed — it is the current outer-level candidate's performance, which changes as the outer optimizer moves through X₁. The inner loop tracks this moving target. This is what gives the framework its true bilevel character.</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3.5 The Isoperformance Manifold — Primary Object</w:t>
      </w:r>
    </w:p>
    <w:p>
      <w:pPr>
        <w:spacing w:after="80" w:before="80" w:line="276"/>
        <w:jc w:val="both"/>
      </w:pPr>
      <w:r>
        <w:rPr>
          <w:rFonts w:ascii="Arial" w:cs="Arial" w:eastAsia="Arial" w:hAnsi="Arial"/>
          <w:b w:val="false"/>
          <w:bCs w:val="false"/>
          <w:i w:val="false"/>
          <w:iCs w:val="false"/>
          <w:color w:val="000000"/>
          <w:sz w:val="22"/>
          <w:szCs w:val="22"/>
        </w:rPr>
        <w:t xml:space="preserve">Once the outer optimizer converges to x₁*, the achieved performance defines the effective target:</w:t>
      </w:r>
    </w:p>
    <w:p>
      <w:pPr>
        <w:shd w:fill="F2F2F2" w:val="clear"/>
        <w:spacing w:after="120" w:before="120"/>
        <w:jc w:val="center"/>
      </w:pPr>
      <w:r>
        <w:rPr>
          <w:rFonts w:ascii="Cambria Math" w:cs="Cambria Math" w:eastAsia="Cambria Math" w:hAnsi="Cambria Math"/>
          <w:i/>
          <w:iCs/>
          <w:color w:val="1F4E79"/>
          <w:sz w:val="22"/>
          <w:szCs w:val="22"/>
        </w:rPr>
        <w:t xml:space="preserve">f* := F₁(x₁*, ·)</w:t>
      </w:r>
    </w:p>
    <w:p>
      <w:pPr>
        <w:spacing w:after="80" w:before="80" w:line="276"/>
        <w:jc w:val="both"/>
      </w:pPr>
      <w:r>
        <w:rPr>
          <w:rFonts w:ascii="Arial" w:cs="Arial" w:eastAsia="Arial" w:hAnsi="Arial"/>
          <w:b w:val="false"/>
          <w:bCs w:val="false"/>
          <w:i w:val="false"/>
          <w:iCs w:val="false"/>
          <w:color w:val="000000"/>
          <w:sz w:val="22"/>
          <w:szCs w:val="22"/>
        </w:rPr>
        <w:t xml:space="preserve">The isoperformance manifold in shape space is then:</w:t>
      </w:r>
    </w:p>
    <w:p>
      <w:pPr>
        <w:shd w:fill="F2F2F2" w:val="clear"/>
        <w:spacing w:after="120" w:before="120"/>
        <w:jc w:val="center"/>
      </w:pPr>
      <w:r>
        <w:rPr>
          <w:rFonts w:ascii="Cambria Math" w:cs="Cambria Math" w:eastAsia="Cambria Math" w:hAnsi="Cambria Math"/>
          <w:i/>
          <w:iCs/>
          <w:color w:val="1F4E79"/>
          <w:sz w:val="22"/>
          <w:szCs w:val="22"/>
        </w:rPr>
        <w:t xml:space="preserve">ℳ(f*, ε_tol) := { s ∈ S : Σⱼ ωⱼ Σₖ wₖ [(fₖ(s,α⁽ʲ⁾) − fₖ*) / fₖʳᵉᶠ]² ≤ ε_tol }</w:t>
      </w:r>
    </w:p>
    <w:p>
      <w:pPr>
        <w:pBdr>
          <w:left w:val="thick" w:color="2E75B6" w:sz="12" w:space="8"/>
        </w:pBdr>
        <w:shd w:fill="D6E4F0" w:val="clear"/>
        <w:spacing w:after="80" w:before="120"/>
        <w:ind w:left="300" w:right="300"/>
      </w:pPr>
      <w:r>
        <w:rPr>
          <w:rFonts w:ascii="Arial" w:cs="Arial" w:eastAsia="Arial" w:hAnsi="Arial"/>
          <w:b/>
          <w:bCs/>
          <w:i w:val="false"/>
          <w:iCs w:val="false"/>
          <w:color w:val="000000"/>
          <w:sz w:val="22"/>
          <w:szCs w:val="22"/>
        </w:rPr>
        <w:t xml:space="preserve">Definition (Isoperformance Manifold Dimension): </w:t>
      </w:r>
      <w:r>
        <w:rPr>
          <w:rFonts w:ascii="Arial" w:cs="Arial" w:eastAsia="Arial" w:hAnsi="Arial"/>
          <w:b w:val="false"/>
          <w:bCs w:val="false"/>
          <w:i/>
          <w:iCs/>
          <w:color w:val="000000"/>
          <w:sz w:val="22"/>
          <w:szCs w:val="22"/>
        </w:rPr>
        <w:t xml:space="preserve">Under smoothness of f and the regularity condition that the Jacobian ∂f/∂s has full row rank m on ℳ, this set is a smooth embedded submanifold of S of dimension:</w:t>
      </w:r>
    </w:p>
    <w:p>
      <w:pPr>
        <w:shd w:fill="F2F2F2" w:val="clear"/>
        <w:spacing w:after="120" w:before="120"/>
        <w:jc w:val="center"/>
      </w:pPr>
      <w:r>
        <w:rPr>
          <w:rFonts w:ascii="Cambria Math" w:cs="Cambria Math" w:eastAsia="Cambria Math" w:hAnsi="Cambria Math"/>
          <w:i/>
          <w:iCs/>
          <w:color w:val="1F4E79"/>
          <w:sz w:val="22"/>
          <w:szCs w:val="22"/>
        </w:rPr>
        <w:t xml:space="preserve">dim(ℳ) = dim(S) − m</w:t>
      </w:r>
    </w:p>
    <w:p>
      <w:pPr>
        <w:spacing w:after="80" w:before="80" w:line="276"/>
        <w:jc w:val="both"/>
      </w:pPr>
      <w:r>
        <w:rPr>
          <w:rFonts w:ascii="Arial" w:cs="Arial" w:eastAsia="Arial" w:hAnsi="Arial"/>
          <w:b w:val="false"/>
          <w:bCs w:val="false"/>
          <w:i w:val="false"/>
          <w:iCs w:val="false"/>
          <w:color w:val="000000"/>
          <w:sz w:val="22"/>
          <w:szCs w:val="22"/>
        </w:rPr>
        <w:t xml:space="preserve">This dimensional formula is the key structural result. It predicts, before running any optimization:</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If m &lt; dim(S): ℳ is a positive-dimensional continuous family — infinitely many equivalent shapes exist (Situation A)</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If m = dim(S): ℳ generically consists of isolated points — finite equivalents (Situation B, Roberts-Chebyshev case)</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If m &gt; dim(S): ℳ is generically empty — the performance target is over-constrained (Situation C)</w:t>
      </w:r>
    </w:p>
    <w:p>
      <w:pPr>
        <w:spacing w:after="80" w:before="80" w:line="276"/>
        <w:jc w:val="both"/>
      </w:pPr>
      <w:r>
        <w:rPr>
          <w:rFonts w:ascii="Arial" w:cs="Arial" w:eastAsia="Arial" w:hAnsi="Arial"/>
          <w:b w:val="false"/>
          <w:bCs w:val="false"/>
          <w:i w:val="false"/>
          <w:iCs w:val="false"/>
          <w:color w:val="000000"/>
          <w:sz w:val="22"/>
          <w:szCs w:val="22"/>
        </w:rPr>
        <w:t xml:space="preserve">The isoperformance sets within each parameterization family are the pre-images in parameter space:</w:t>
      </w:r>
    </w:p>
    <w:p>
      <w:pPr>
        <w:shd w:fill="F2F2F2" w:val="clear"/>
        <w:spacing w:after="120" w:before="120"/>
        <w:jc w:val="center"/>
      </w:pPr>
      <w:r>
        <w:rPr>
          <w:rFonts w:ascii="Cambria Math" w:cs="Cambria Math" w:eastAsia="Cambria Math" w:hAnsi="Cambria Math"/>
          <w:i/>
          <w:iCs/>
          <w:color w:val="1F4E79"/>
          <w:sz w:val="22"/>
          <w:szCs w:val="22"/>
        </w:rPr>
        <w:t xml:space="preserve">ℳᵢ(f*, ε_tol) := φᵢ⁻¹(ℳ(f*, ε_tol) ∩ φᵢ(Xᵢ)) ⊆ Xᵢ</w:t>
      </w:r>
    </w:p>
    <w:p>
      <w:pPr>
        <w:spacing w:after="80" w:before="80" w:line="276"/>
        <w:jc w:val="both"/>
      </w:pPr>
      <w:r>
        <w:rPr>
          <w:rFonts w:ascii="Arial" w:cs="Arial" w:eastAsia="Arial" w:hAnsi="Arial"/>
          <w:b/>
          <w:bCs/>
          <w:i w:val="false"/>
          <w:iCs w:val="false"/>
          <w:color w:val="000000"/>
          <w:sz w:val="22"/>
          <w:szCs w:val="22"/>
        </w:rPr>
        <w:t xml:space="preserve">Important positioning: </w:t>
      </w:r>
      <w:r>
        <w:rPr>
          <w:rFonts w:ascii="Arial" w:cs="Arial" w:eastAsia="Arial" w:hAnsi="Arial"/>
          <w:b w:val="false"/>
          <w:bCs w:val="false"/>
          <w:i w:val="false"/>
          <w:iCs w:val="false"/>
          <w:color w:val="000000"/>
          <w:sz w:val="22"/>
          <w:szCs w:val="22"/>
        </w:rPr>
        <w:t xml:space="preserve">ℳ is a post-optimization theoretical object. It is not a constraint imposed during optimization — it is the lens through which results are interpreted after convergence. This distinction was critical to maintaining the correct bilevel structure.</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3.6 The Complete BIO Problem — General Form</w:t>
      </w:r>
    </w:p>
    <w:p>
      <w:pPr>
        <w:spacing w:after="80" w:before="80" w:line="276"/>
        <w:jc w:val="both"/>
      </w:pPr>
      <w:r>
        <w:rPr>
          <w:rFonts w:ascii="Arial" w:cs="Arial" w:eastAsia="Arial" w:hAnsi="Arial"/>
          <w:b w:val="false"/>
          <w:bCs w:val="false"/>
          <w:i w:val="false"/>
          <w:iCs w:val="false"/>
          <w:color w:val="000000"/>
          <w:sz w:val="22"/>
          <w:szCs w:val="22"/>
        </w:rPr>
        <w:t xml:space="preserve">The general BIO problem simultaneously seeks: (1) the optimal design x₁* within family 1, achieving best performance; (2) confirmation that geometrically distinct equivalents exist in all other families; and (3) characterization of ℳ across families through structured sampling.</w:t>
      </w:r>
    </w:p>
    <w:p>
      <w:pPr>
        <w:spacing w:after="0" w:before="40"/>
      </w:pPr>
      <w:r>
        <w:rPr>
          <w:rFonts w:ascii="Arial" w:cs="Arial" w:eastAsia="Arial" w:hAnsi="Arial"/>
          <w:b w:val="false"/>
          <w:bCs w:val="false"/>
          <w:i w:val="false"/>
          <w:iCs w:val="false"/>
          <w:color w:val="000000"/>
          <w:sz w:val="22"/>
          <w:szCs w:val="22"/>
        </w:rPr>
        <w:t xml:space="preserve"/>
      </w:r>
    </w:p>
    <w:p>
      <w:pPr>
        <w:pBdr>
          <w:top w:val="single" w:color="CCCCCC" w:sz="1"/>
          <w:bottom w:val="single" w:color="CCCCCC" w:sz="1"/>
          <w:left w:val="single" w:color="CCCCCC" w:sz="1"/>
          <w:right w:val="single" w:color="CCCCCC" w:sz="1"/>
        </w:pBdr>
        <w:shd w:fill="E8F0FE" w:val="clear"/>
        <w:spacing w:after="120" w:before="120"/>
        <w:ind w:left="300" w:right="300"/>
      </w:pPr>
      <w:r>
        <w:rPr>
          <w:rFonts w:ascii="Arial" w:cs="Arial" w:eastAsia="Arial" w:hAnsi="Arial"/>
          <w:b/>
          <w:bCs/>
          <w:i w:val="false"/>
          <w:iCs w:val="false"/>
          <w:color w:val="1F4E79"/>
          <w:sz w:val="22"/>
          <w:szCs w:val="22"/>
        </w:rPr>
        <w:t xml:space="preserve">UPPER LEVEL — Performance Optimization (Leader)</w:t>
      </w:r>
    </w:p>
    <w:p>
      <w:pPr>
        <w:shd w:fill="F2F2F2" w:val="clear"/>
        <w:spacing w:after="120" w:before="120"/>
        <w:jc w:val="center"/>
      </w:pPr>
      <w:r>
        <w:rPr>
          <w:rFonts w:ascii="Cambria Math" w:cs="Cambria Math" w:eastAsia="Cambria Math" w:hAnsi="Cambria Math"/>
          <w:i/>
          <w:iCs/>
          <w:color w:val="1F4E79"/>
          <w:sz w:val="22"/>
          <w:szCs w:val="22"/>
        </w:rPr>
        <w:t xml:space="preserve">min_{x₁ ∈ X₁}   J( F₁(x₁, ·) )</w:t>
      </w:r>
    </w:p>
    <w:p>
      <w:pPr>
        <w:shd w:fill="F2F2F2" w:val="clear"/>
        <w:spacing w:after="120" w:before="120"/>
        <w:jc w:val="center"/>
      </w:pPr>
      <w:r>
        <w:rPr>
          <w:rFonts w:ascii="Cambria Math" w:cs="Cambria Math" w:eastAsia="Cambria Math" w:hAnsi="Cambria Math"/>
          <w:i/>
          <w:iCs/>
          <w:color w:val="1F4E79"/>
          <w:sz w:val="22"/>
          <w:szCs w:val="22"/>
        </w:rPr>
        <w:t xml:space="preserve">s.t.   G( F₁(x₁, ·) ) ≤ 0</w:t>
      </w:r>
    </w:p>
    <w:p>
      <w:pPr>
        <w:shd w:fill="F2F2F2" w:val="clear"/>
        <w:spacing w:after="120" w:before="120"/>
        <w:jc w:val="center"/>
      </w:pPr>
      <w:r>
        <w:rPr>
          <w:rFonts w:ascii="Cambria Math" w:cs="Cambria Math" w:eastAsia="Cambria Math" w:hAnsi="Cambria Math"/>
          <w:i/>
          <w:iCs/>
          <w:color w:val="1F4E79"/>
          <w:sz w:val="22"/>
          <w:szCs w:val="22"/>
        </w:rPr>
        <w:t xml:space="preserve">       εᵢ*(x₁) ≤ ε_tol ,   i = 2, …, N</w:t>
      </w:r>
    </w:p>
    <w:p>
      <w:pPr>
        <w:spacing w:after="0" w:before="40"/>
      </w:pPr>
      <w:r>
        <w:rPr>
          <w:rFonts w:ascii="Arial" w:cs="Arial" w:eastAsia="Arial" w:hAnsi="Arial"/>
          <w:b w:val="false"/>
          <w:bCs w:val="false"/>
          <w:i w:val="false"/>
          <w:iCs w:val="false"/>
          <w:color w:val="000000"/>
          <w:sz w:val="22"/>
          <w:szCs w:val="22"/>
        </w:rPr>
        <w:t xml:space="preserve"/>
      </w:r>
    </w:p>
    <w:p>
      <w:pPr>
        <w:pBdr>
          <w:top w:val="single" w:color="CCCCCC" w:sz="1"/>
          <w:bottom w:val="single" w:color="CCCCCC" w:sz="1"/>
          <w:left w:val="single" w:color="CCCCCC" w:sz="1"/>
          <w:right w:val="single" w:color="CCCCCC" w:sz="1"/>
        </w:pBdr>
        <w:shd w:fill="E8F0FE" w:val="clear"/>
        <w:spacing w:after="120" w:before="120"/>
        <w:ind w:left="300" w:right="300"/>
      </w:pPr>
      <w:r>
        <w:rPr>
          <w:rFonts w:ascii="Arial" w:cs="Arial" w:eastAsia="Arial" w:hAnsi="Arial"/>
          <w:b/>
          <w:bCs/>
          <w:i w:val="false"/>
          <w:iCs w:val="false"/>
          <w:color w:val="1F4E79"/>
          <w:sz w:val="22"/>
          <w:szCs w:val="22"/>
        </w:rPr>
        <w:t xml:space="preserve">LOWER LEVEL — Isoperformance Search (Follower)</w:t>
      </w:r>
    </w:p>
    <w:p>
      <w:pPr>
        <w:shd w:fill="F2F2F2" w:val="clear"/>
        <w:spacing w:after="120" w:before="120"/>
        <w:jc w:val="center"/>
      </w:pPr>
      <w:r>
        <w:rPr>
          <w:rFonts w:ascii="Cambria Math" w:cs="Cambria Math" w:eastAsia="Cambria Math" w:hAnsi="Cambria Math"/>
          <w:i/>
          <w:iCs/>
          <w:color w:val="1F4E79"/>
          <w:sz w:val="22"/>
          <w:szCs w:val="22"/>
        </w:rPr>
        <w:t xml:space="preserve">εᵢ*(x₁) = min_{xᵢ ∈ Xᵢ}   ℛ(x₁, xᵢ)</w:t>
      </w:r>
    </w:p>
    <w:p>
      <w:pPr>
        <w:shd w:fill="F2F2F2" w:val="clear"/>
        <w:spacing w:after="120" w:before="120"/>
        <w:jc w:val="center"/>
      </w:pPr>
      <w:r>
        <w:rPr>
          <w:rFonts w:ascii="Cambria Math" w:cs="Cambria Math" w:eastAsia="Cambria Math" w:hAnsi="Cambria Math"/>
          <w:i/>
          <w:iCs/>
          <w:color w:val="1F4E79"/>
          <w:sz w:val="22"/>
          <w:szCs w:val="22"/>
        </w:rPr>
        <w:t xml:space="preserve">          s.t.   dS(x₁, xᵢ) ≥ δ</w:t>
      </w:r>
    </w:p>
    <w:p>
      <w:pPr>
        <w:spacing w:after="0" w:before="80"/>
      </w:pPr>
      <w:r>
        <w:rPr>
          <w:rFonts w:ascii="Arial" w:cs="Arial" w:eastAsia="Arial" w:hAnsi="Arial"/>
          <w:b w:val="false"/>
          <w:bCs w:val="false"/>
          <w:i w:val="false"/>
          <w:iCs w:val="false"/>
          <w:color w:val="000000"/>
          <w:sz w:val="22"/>
          <w:szCs w:val="22"/>
        </w:rPr>
        <w:t xml:space="preserve"/>
      </w:r>
    </w:p>
    <w:p>
      <w:pPr>
        <w:spacing w:after="80" w:before="80" w:line="276"/>
        <w:jc w:val="both"/>
      </w:pPr>
      <w:r>
        <w:rPr>
          <w:rFonts w:ascii="Arial" w:cs="Arial" w:eastAsia="Arial" w:hAnsi="Arial"/>
          <w:b w:val="false"/>
          <w:bCs w:val="false"/>
          <w:i w:val="false"/>
          <w:iCs w:val="false"/>
          <w:color w:val="000000"/>
          <w:sz w:val="22"/>
          <w:szCs w:val="22"/>
        </w:rPr>
        <w:t xml:space="preserve">Roles of each component:</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Outer objective J: pure performance optimization — drag, compliance, peak transmissibility, mass, or any domain-appropriate scalar. Unconstrained by any prescribed performance target.</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Performance constraints G ≤ 0: physical requirements on x₁ alone — lift target, stress limit, frequency bound — independent of the inner loop.</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Coupling constraints εᵢ*(x₁) ≤ ε_tol: the true bilevel coupling. For every family i = 2,…,N, the inner optimizer must find at least one geometrically distinct design matching x₁'s performance within tolerance. The outer optimizer implicitly operates only in regions of X₁ from which cross-family equivalents are reachable.</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Inner problem: for fixed x₁ (current outer candidate), finds xᵢ minimizing performance distance from x₁, subject to geometric distinctness δ. The target is adaptive — it changes with every outer-level candidate. This reactivity is what constitutes the genuine bilevel structure.</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3.7 Structural Properties</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P1 — Existence of Lower-Level Solution</w:t>
      </w:r>
    </w:p>
    <w:p>
      <w:pPr>
        <w:spacing w:after="80" w:before="80" w:line="276"/>
        <w:jc w:val="both"/>
      </w:pPr>
      <w:r>
        <w:rPr>
          <w:rFonts w:ascii="Arial" w:cs="Arial" w:eastAsia="Arial" w:hAnsi="Arial"/>
          <w:b w:val="false"/>
          <w:bCs w:val="false"/>
          <w:i w:val="false"/>
          <w:iCs w:val="false"/>
          <w:color w:val="000000"/>
          <w:sz w:val="22"/>
          <w:szCs w:val="22"/>
        </w:rPr>
        <w:t xml:space="preserve">The lower-level problem has a solution if and only if the feasible set after imposing the diversity constraint is non-empty: {xᵢ ∈ Xᵢ : dS(x₁,xᵢ) ≥ δ} ≠ ∅ and ℛ(x₁,xᵢ) ≤ ε_tol for some feasible xᵢ. The outer optimizer implicitly characterizes which regions of X₁ admit cross-family equivalents — this feasibility map is itself a research result.</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P2 — Optimistic Bilevel Convention</w:t>
      </w:r>
    </w:p>
    <w:p>
      <w:pPr>
        <w:spacing w:after="80" w:before="80" w:line="276"/>
        <w:jc w:val="both"/>
      </w:pPr>
      <w:r>
        <w:rPr>
          <w:rFonts w:ascii="Arial" w:cs="Arial" w:eastAsia="Arial" w:hAnsi="Arial"/>
          <w:b w:val="false"/>
          <w:bCs w:val="false"/>
          <w:i w:val="false"/>
          <w:iCs w:val="false"/>
          <w:color w:val="000000"/>
          <w:sz w:val="22"/>
          <w:szCs w:val="22"/>
        </w:rPr>
        <w:t xml:space="preserve">The framework adopts the optimistic bilevel convention: when the lower level has multiple solutions, the one most favorable to the upper level (minimum ℛ) is selected. Since both levels share the goal of finding equivalent designs — rather than competing — the optimistic formulation is the natural and correct choice.</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P3 — Trivial Solution Excluded</w:t>
      </w:r>
    </w:p>
    <w:p>
      <w:pPr>
        <w:spacing w:after="80" w:before="80" w:line="276"/>
        <w:jc w:val="both"/>
      </w:pPr>
      <w:r>
        <w:rPr>
          <w:rFonts w:ascii="Arial" w:cs="Arial" w:eastAsia="Arial" w:hAnsi="Arial"/>
          <w:b w:val="false"/>
          <w:bCs w:val="false"/>
          <w:i w:val="false"/>
          <w:iCs w:val="false"/>
          <w:color w:val="000000"/>
          <w:sz w:val="22"/>
          <w:szCs w:val="22"/>
        </w:rPr>
        <w:t xml:space="preserve">When δ &gt; 0, the shape-identical solution dS(x₁, xᵢ) = 0 is excluded from the lower-level feasible set. This holds regardless of parameterization homogeneity or heterogeneity, since the constraint is defined in shape space through φᵢ.</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P4 — Non-Convexity and Solver Choice</w:t>
      </w:r>
    </w:p>
    <w:p>
      <w:pPr>
        <w:spacing w:after="80" w:before="80" w:line="276"/>
        <w:jc w:val="both"/>
      </w:pPr>
      <w:r>
        <w:rPr>
          <w:rFonts w:ascii="Arial" w:cs="Arial" w:eastAsia="Arial" w:hAnsi="Arial"/>
          <w:b w:val="false"/>
          <w:bCs w:val="false"/>
          <w:i w:val="false"/>
          <w:iCs w:val="false"/>
          <w:color w:val="000000"/>
          <w:sz w:val="22"/>
          <w:szCs w:val="22"/>
        </w:rPr>
        <w:t xml:space="preserve">The coupling constraints εᵢ*(x₁) are optimal value functions of generally non-convex inner problems. They are non-smooth as functions of x₁, precluding gradient-based upper-level methods. This motivates derivative-free population-based optimizers at both levels — Differential Evolution (DE) is the natural choice given existing expertise.</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P5 — Dimensional Consistency</w:t>
      </w:r>
    </w:p>
    <w:p>
      <w:pPr>
        <w:spacing w:after="80" w:before="80" w:line="276"/>
        <w:jc w:val="both"/>
      </w:pPr>
      <w:r>
        <w:rPr>
          <w:rFonts w:ascii="Arial" w:cs="Arial" w:eastAsia="Arial" w:hAnsi="Arial"/>
          <w:b w:val="false"/>
          <w:bCs w:val="false"/>
          <w:i w:val="false"/>
          <w:iCs w:val="false"/>
          <w:color w:val="000000"/>
          <w:sz w:val="22"/>
          <w:szCs w:val="22"/>
        </w:rPr>
        <w:t xml:space="preserve">For the isoperformance manifold to be positive-dimensional (Situation A — families of equivalents), the condition m &lt; dim(S) must hold. If m ≥ dim(S), equivalents are generically isolated — a design pre-analysis using the dimensional formula should be performed before running any application case.</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3.8 Pairs and Triplets as Special Cases</w:t>
      </w:r>
    </w:p>
    <w:p>
      <w:pPr>
        <w:pStyle w:val="Heading3"/>
        <w:spacing w:after="80" w:before="200"/>
      </w:pPr>
      <w:r>
        <w:rPr>
          <w:rFonts w:ascii="Arial" w:cs="Arial" w:eastAsia="Arial" w:hAnsi="Arial"/>
          <w:b/>
          <w:bCs/>
          <w:color w:val="2E75B6"/>
          <w:sz w:val="24"/>
          <w:szCs w:val="24"/>
        </w:rPr>
        <w:t xml:space="preserve">Corollary 1 — Pair (N = 2)</w:t>
      </w:r>
    </w:p>
    <w:p>
      <w:pPr>
        <w:spacing w:after="80" w:before="80" w:line="276"/>
        <w:jc w:val="both"/>
      </w:pPr>
      <w:r>
        <w:rPr>
          <w:rFonts w:ascii="Arial" w:cs="Arial" w:eastAsia="Arial" w:hAnsi="Arial"/>
          <w:b w:val="false"/>
          <w:bCs w:val="false"/>
          <w:i w:val="false"/>
          <w:iCs w:val="false"/>
          <w:color w:val="000000"/>
          <w:sz w:val="22"/>
          <w:szCs w:val="22"/>
        </w:rPr>
        <w:t xml:space="preserve">One inner problem finds x₂* minimizing ℛ(x₁, x₂) subject to dS(x₁,x₂) ≥ δ. This is the simplest non-trivial instance, sufficient to demonstrate cross-family isoperformance and establish computational feasibility. It is the necessary first result — Layer 1 of the layered structure.</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Corollary 2 — Triplet (N = 3)</w:t>
      </w:r>
    </w:p>
    <w:p>
      <w:pPr>
        <w:spacing w:after="80" w:before="80" w:line="276"/>
        <w:jc w:val="both"/>
      </w:pPr>
      <w:r>
        <w:rPr>
          <w:rFonts w:ascii="Arial" w:cs="Arial" w:eastAsia="Arial" w:hAnsi="Arial"/>
          <w:b w:val="false"/>
          <w:bCs w:val="false"/>
          <w:i w:val="false"/>
          <w:iCs w:val="false"/>
          <w:color w:val="000000"/>
          <w:sz w:val="22"/>
          <w:szCs w:val="22"/>
        </w:rPr>
        <w:t xml:space="preserve">Two lower-level problems find x₂* and x₃* for each outer candidate x₁. To enforce mutual equivalence among all three (not merely pairwise with x₁), an additional constraint dS(x₂,x₃) ≥ δ and the mutual residual ℛ(x₂,x₃) are added, forming a joint inner problem over X₂ × X₃. Inner dimensionality doubles compared to the pair case.</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3.9 Manifold Sampling — The Full Generalization</w:t>
      </w:r>
    </w:p>
    <w:p>
      <w:pPr>
        <w:spacing w:after="80" w:before="80" w:line="276"/>
        <w:jc w:val="both"/>
      </w:pPr>
      <w:r>
        <w:rPr>
          <w:rFonts w:ascii="Arial" w:cs="Arial" w:eastAsia="Arial" w:hAnsi="Arial"/>
          <w:b w:val="false"/>
          <w:bCs w:val="false"/>
          <w:i w:val="false"/>
          <w:iCs w:val="false"/>
          <w:color w:val="000000"/>
          <w:sz w:val="22"/>
          <w:szCs w:val="22"/>
        </w:rPr>
        <w:t xml:space="preserve">After convergence to x₁*, the inner problem is solved repeatedly with sequential diversity enforcement to characterize the isoperformance family within each family i:</w:t>
      </w:r>
    </w:p>
    <w:p>
      <w:pPr>
        <w:spacing w:after="0" w:before="40"/>
      </w:pPr>
      <w:r>
        <w:rPr>
          <w:rFonts w:ascii="Arial" w:cs="Arial" w:eastAsia="Arial" w:hAnsi="Arial"/>
          <w:b w:val="false"/>
          <w:bCs w:val="false"/>
          <w:i w:val="false"/>
          <w:iCs w:val="false"/>
          <w:color w:val="000000"/>
          <w:sz w:val="22"/>
          <w:szCs w:val="22"/>
        </w:rPr>
        <w:t xml:space="preserve"/>
      </w:r>
    </w:p>
    <w:p>
      <w:pPr>
        <w:shd w:fill="F2F2F2" w:val="clear"/>
        <w:spacing w:after="100" w:before="100"/>
        <w:ind w:left="300" w:right="300"/>
      </w:pPr>
      <w:r>
        <w:rPr>
          <w:rFonts w:ascii="Arial" w:cs="Arial" w:eastAsia="Arial" w:hAnsi="Arial"/>
          <w:b/>
          <w:bCs/>
          <w:i w:val="false"/>
          <w:iCs w:val="false"/>
          <w:color w:val="1F4E79"/>
          <w:sz w:val="22"/>
          <w:szCs w:val="22"/>
        </w:rPr>
        <w:t xml:space="preserve">Algorithm: Sequential Manifold Sampling within Family i</w:t>
      </w:r>
    </w:p>
    <w:p>
      <w:pPr>
        <w:spacing w:after="20" w:before="80"/>
        <w:ind w:left="400"/>
      </w:pPr>
      <w:r>
        <w:rPr>
          <w:rFonts w:ascii="Courier New" w:cs="Courier New" w:eastAsia="Courier New" w:hAnsi="Courier New"/>
          <w:b w:val="false"/>
          <w:bCs w:val="false"/>
          <w:i w:val="false"/>
          <w:iCs w:val="false"/>
          <w:color w:val="000000"/>
          <w:sz w:val="20"/>
          <w:szCs w:val="20"/>
        </w:rPr>
        <w:t xml:space="preserve">Initialize:  Q_i ← { x_i^(1) }  (first inner solution)</w:t>
      </w:r>
    </w:p>
    <w:p>
      <w:pPr>
        <w:spacing w:after="20" w:before="20"/>
        <w:ind w:left="400"/>
      </w:pPr>
      <w:r>
        <w:rPr>
          <w:rFonts w:ascii="Courier New" w:cs="Courier New" w:eastAsia="Courier New" w:hAnsi="Courier New"/>
          <w:b w:val="false"/>
          <w:bCs w:val="false"/>
          <w:i w:val="false"/>
          <w:iCs w:val="false"/>
          <w:color w:val="000000"/>
          <w:sz w:val="20"/>
          <w:szCs w:val="20"/>
        </w:rPr>
        <w:t xml:space="preserve">For r = 1, 2, …, R:</w:t>
      </w:r>
    </w:p>
    <w:p>
      <w:pPr>
        <w:spacing w:after="20" w:before="20"/>
        <w:ind w:left="640"/>
      </w:pPr>
      <w:r>
        <w:rPr>
          <w:rFonts w:ascii="Courier New" w:cs="Courier New" w:eastAsia="Courier New" w:hAnsi="Courier New"/>
          <w:b w:val="false"/>
          <w:bCs w:val="false"/>
          <w:i w:val="false"/>
          <w:iCs w:val="false"/>
          <w:color w:val="000000"/>
          <w:sz w:val="20"/>
          <w:szCs w:val="20"/>
        </w:rPr>
        <w:t xml:space="preserve">Find x_i^(r+1) = argmin_{x_i ∈ X_i} ℛ(x_1*, x_i)</w:t>
      </w:r>
    </w:p>
    <w:p>
      <w:pPr>
        <w:spacing w:after="20" w:before="20"/>
        <w:ind w:left="640"/>
      </w:pPr>
      <w:r>
        <w:rPr>
          <w:rFonts w:ascii="Courier New" w:cs="Courier New" w:eastAsia="Courier New" w:hAnsi="Courier New"/>
          <w:b w:val="false"/>
          <w:bCs w:val="false"/>
          <w:i w:val="false"/>
          <w:iCs w:val="false"/>
          <w:color w:val="000000"/>
          <w:sz w:val="20"/>
          <w:szCs w:val="20"/>
        </w:rPr>
        <w:t xml:space="preserve">  s.t.  dS(x_1*, x_i) ≥ δ</w:t>
      </w:r>
    </w:p>
    <w:p>
      <w:pPr>
        <w:spacing w:after="20" w:before="20"/>
        <w:ind w:left="640"/>
      </w:pPr>
      <w:r>
        <w:rPr>
          <w:rFonts w:ascii="Courier New" w:cs="Courier New" w:eastAsia="Courier New" w:hAnsi="Courier New"/>
          <w:b w:val="false"/>
          <w:bCs w:val="false"/>
          <w:i w:val="false"/>
          <w:iCs w:val="false"/>
          <w:color w:val="000000"/>
          <w:sz w:val="20"/>
          <w:szCs w:val="20"/>
        </w:rPr>
        <w:t xml:space="preserve">         dS(x_i^(l), x_i) ≥ δ  for all l ≤ r</w:t>
      </w:r>
    </w:p>
    <w:p>
      <w:pPr>
        <w:spacing w:after="80" w:before="20"/>
        <w:ind w:left="640"/>
      </w:pPr>
      <w:r>
        <w:rPr>
          <w:rFonts w:ascii="Courier New" w:cs="Courier New" w:eastAsia="Courier New" w:hAnsi="Courier New"/>
          <w:b w:val="false"/>
          <w:bCs w:val="false"/>
          <w:i w:val="false"/>
          <w:iCs w:val="false"/>
          <w:color w:val="000000"/>
          <w:sz w:val="20"/>
          <w:szCs w:val="20"/>
        </w:rPr>
        <w:t xml:space="preserve">  Append to Q_i if ℛ ≤ ε_tol, else terminate.</w:t>
      </w:r>
    </w:p>
    <w:p>
      <w:pPr>
        <w:spacing w:after="100" w:before="20"/>
        <w:ind w:left="400"/>
      </w:pPr>
      <w:r>
        <w:rPr>
          <w:rFonts w:ascii="Courier New" w:cs="Courier New" w:eastAsia="Courier New" w:hAnsi="Courier New"/>
          <w:b w:val="false"/>
          <w:bCs w:val="false"/>
          <w:i w:val="false"/>
          <w:iCs w:val="false"/>
          <w:color w:val="000000"/>
          <w:sz w:val="20"/>
          <w:szCs w:val="20"/>
        </w:rPr>
        <w:t xml:space="preserve">Apply PCA/UMAP to { φᵢ(x_i^(l)) } to recover manifold structure.</w:t>
      </w:r>
    </w:p>
    <w:p>
      <w:pPr>
        <w:spacing w:after="80" w:before="80" w:line="276"/>
        <w:jc w:val="both"/>
      </w:pPr>
      <w:r>
        <w:rPr>
          <w:rFonts w:ascii="Arial" w:cs="Arial" w:eastAsia="Arial" w:hAnsi="Arial"/>
          <w:b w:val="false"/>
          <w:bCs w:val="false"/>
          <w:i w:val="false"/>
          <w:iCs w:val="false"/>
          <w:color w:val="000000"/>
          <w:sz w:val="22"/>
          <w:szCs w:val="22"/>
        </w:rPr>
        <w:t xml:space="preserve">The accumulated set Q_i is a point cloud on ℳᵢ. Pairs and triplets are now seen as |Q_i| = 1 and |Q_i| = 2 — the minimal instances of manifold sampling.</w:t>
      </w:r>
    </w:p>
    <w:p>
      <w:r>
        <w:br w:type="page"/>
      </w:r>
    </w:p>
    <w:p>
      <w:pPr>
        <w:pStyle w:val="Heading1"/>
        <w:spacing w:after="120" w:before="360"/>
      </w:pPr>
      <w:r>
        <w:rPr>
          <w:rFonts w:ascii="Arial" w:cs="Arial" w:eastAsia="Arial" w:hAnsi="Arial"/>
          <w:b/>
          <w:bCs/>
          <w:color w:val="FFFFFF"/>
          <w:sz w:val="36"/>
          <w:szCs w:val="36"/>
        </w:rPr>
        <w:t xml:space="preserve">4. Planned Application Cases</w:t>
      </w:r>
    </w:p>
    <w:p>
      <w:pPr>
        <w:spacing w:after="0" w:before="80"/>
      </w:pPr>
      <w:r>
        <w:rPr>
          <w:rFonts w:ascii="Arial" w:cs="Arial" w:eastAsia="Arial" w:hAnsi="Arial"/>
          <w:b w:val="false"/>
          <w:bCs w:val="false"/>
          <w:i w:val="false"/>
          <w:iCs w:val="false"/>
          <w:color w:val="000000"/>
          <w:sz w:val="22"/>
          <w:szCs w:val="22"/>
        </w:rPr>
        <w:t xml:space="preserve"/>
      </w:r>
    </w:p>
    <w:p>
      <w:pPr>
        <w:spacing w:after="80" w:before="80" w:line="276"/>
        <w:jc w:val="both"/>
      </w:pPr>
      <w:r>
        <w:rPr>
          <w:rFonts w:ascii="Arial" w:cs="Arial" w:eastAsia="Arial" w:hAnsi="Arial"/>
          <w:b w:val="false"/>
          <w:bCs w:val="false"/>
          <w:i w:val="false"/>
          <w:iCs w:val="false"/>
          <w:color w:val="000000"/>
          <w:sz w:val="22"/>
          <w:szCs w:val="22"/>
        </w:rPr>
        <w:t xml:space="preserve">Three application domains are planned for the Stage 1 paper, chosen for fast, trustworthy physics models that do not require computational meshes or CFD. A fourth case serves as a verification scenario.</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4.1 Overview</w:t>
      </w:r>
    </w:p>
    <w:p>
      <w:pPr>
        <w:spacing w:after="0" w:before="40"/>
      </w:pPr>
      <w:r>
        <w:rPr>
          <w:rFonts w:ascii="Arial" w:cs="Arial" w:eastAsia="Arial" w:hAnsi="Arial"/>
          <w:b w:val="false"/>
          <w:bCs w:val="false"/>
          <w:i w:val="false"/>
          <w:iCs w:val="false"/>
          <w:color w:val="000000"/>
          <w:sz w:val="22"/>
          <w:szCs w:val="22"/>
        </w:rP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000"/>
        <w:gridCol w:w="1800"/>
        <w:gridCol w:w="1800"/>
        <w:gridCol w:w="10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Physics Model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Eval Speed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Parameterization x₁</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Parameterization x₂</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2D Airfoil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XFOIL (viscous panel + BL)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~0.5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NACA 4-series (3 param.)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CST free-form (6–8 coeff.)</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Application</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Structural cross-sections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Closed-form section integrals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&lt;1 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I-beam (4 param.)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Box section (4 param.)</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Application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Spring-mass-damper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Transfer function (analytical)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&lt;1 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Standard SMD [m,k,c]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TMD (tuned mass damper)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Application</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Four-bar linkage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Freudenstein equation (algebraic)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&lt;1 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Any valid four-bar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Cognate linkages</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Verification</w:t>
            </w:r>
          </w:p>
        </w:tc>
      </w:tr>
    </w:tbl>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4.2 Case 1 — 2D Airfoil</w:t>
      </w:r>
    </w:p>
    <w:p>
      <w:pPr>
        <w:pStyle w:val="Heading3"/>
        <w:spacing w:after="80" w:before="200"/>
      </w:pPr>
      <w:r>
        <w:rPr>
          <w:rFonts w:ascii="Arial" w:cs="Arial" w:eastAsia="Arial" w:hAnsi="Arial"/>
          <w:b/>
          <w:bCs/>
          <w:color w:val="2E75B6"/>
          <w:sz w:val="24"/>
          <w:szCs w:val="24"/>
        </w:rPr>
        <w:t xml:space="preserve">Motivation</w:t>
      </w:r>
    </w:p>
    <w:p>
      <w:pPr>
        <w:spacing w:after="80" w:before="80" w:line="276"/>
        <w:jc w:val="both"/>
      </w:pPr>
      <w:r>
        <w:rPr>
          <w:rFonts w:ascii="Arial" w:cs="Arial" w:eastAsia="Arial" w:hAnsi="Arial"/>
          <w:b w:val="false"/>
          <w:bCs w:val="false"/>
          <w:i w:val="false"/>
          <w:iCs w:val="false"/>
          <w:color w:val="000000"/>
          <w:sz w:val="22"/>
          <w:szCs w:val="22"/>
        </w:rPr>
        <w:t xml:space="preserve">The airfoil case introduces the only semi-empirical physics model among the three applications. XFOIL captures viscous drag through integral boundary layer equations coupled to a panel method — giving reliable results for attached flow at moderate angles of attack. This makes CFD validation inexpensive (2D RANS) and the findings robust.</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Parameterization Heterogeneity Design</w:t>
      </w:r>
    </w:p>
    <w:p>
      <w:pPr>
        <w:spacing w:after="80" w:before="80" w:line="276"/>
        <w:jc w:val="both"/>
      </w:pPr>
      <w:r>
        <w:rPr>
          <w:rFonts w:ascii="Arial" w:cs="Arial" w:eastAsia="Arial" w:hAnsi="Arial"/>
          <w:b/>
          <w:bCs/>
          <w:i w:val="false"/>
          <w:iCs w:val="false"/>
          <w:color w:val="000000"/>
          <w:sz w:val="22"/>
          <w:szCs w:val="22"/>
        </w:rPr>
        <w:t xml:space="preserve">x₁ (NACA 4-series):</w:t>
      </w:r>
      <w:r>
        <w:rPr>
          <w:rFonts w:ascii="Arial" w:cs="Arial" w:eastAsia="Arial" w:hAnsi="Arial"/>
          <w:b w:val="false"/>
          <w:bCs w:val="false"/>
          <w:i w:val="false"/>
          <w:iCs w:val="false"/>
          <w:color w:val="000000"/>
          <w:sz w:val="22"/>
          <w:szCs w:val="22"/>
        </w:rPr>
        <w:t xml:space="preserve"> parametrized by maximum camber c (0–9.5%), camber position p (10–90% chord), maximum thickness t (6–21%). The family is analytical and constrained — it cannot represent arbitrary shapes.</w:t>
      </w:r>
    </w:p>
    <w:p>
      <w:pPr>
        <w:spacing w:after="80" w:before="80" w:line="276"/>
        <w:jc w:val="both"/>
      </w:pPr>
      <w:r>
        <w:rPr>
          <w:rFonts w:ascii="Arial" w:cs="Arial" w:eastAsia="Arial" w:hAnsi="Arial"/>
          <w:b/>
          <w:bCs/>
          <w:i w:val="false"/>
          <w:iCs w:val="false"/>
          <w:color w:val="000000"/>
          <w:sz w:val="22"/>
          <w:szCs w:val="22"/>
        </w:rPr>
        <w:t xml:space="preserve">x₂ (CST free-form):</w:t>
      </w:r>
      <w:r>
        <w:rPr>
          <w:rFonts w:ascii="Arial" w:cs="Arial" w:eastAsia="Arial" w:hAnsi="Arial"/>
          <w:b w:val="false"/>
          <w:bCs w:val="false"/>
          <w:i w:val="false"/>
          <w:iCs w:val="false"/>
          <w:color w:val="000000"/>
          <w:sz w:val="22"/>
          <w:szCs w:val="22"/>
        </w:rPr>
        <w:t xml:space="preserve"> parametrized by Bernstein polynomial coefficients for upper and lower surfaces — typically 6–8 total coefficients. The family is essentially unconstrained within physical bounds.</w:t>
      </w:r>
    </w:p>
    <w:p>
      <w:pPr>
        <w:spacing w:after="80" w:before="80" w:line="276"/>
        <w:jc w:val="both"/>
      </w:pPr>
      <w:r>
        <w:rPr>
          <w:rFonts w:ascii="Arial" w:cs="Arial" w:eastAsia="Arial" w:hAnsi="Arial"/>
          <w:b w:val="false"/>
          <w:bCs w:val="false"/>
          <w:i w:val="false"/>
          <w:iCs w:val="false"/>
          <w:color w:val="000000"/>
          <w:sz w:val="22"/>
          <w:szCs w:val="22"/>
        </w:rPr>
        <w:t xml:space="preserve">The heterogeneity is fundamental: a NACA profile is fully determined by 3 numbers; a CST profile by ~8 numbers. The inner optimizer must find a free-form shape that matches the NACA profile's viscous aerodynamic signature.</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Performance Vector f</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Lift coefficient Cₗ</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Drag coefficient Cₐ (total, viscous)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Pitching moment coefficient Cₘ</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Boundary layer transition location (upper surface) — optional, adds shape sensitivity</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Evaluation Parameters A</w:t>
      </w:r>
    </w:p>
    <w:p>
      <w:pPr>
        <w:spacing w:after="80" w:before="80" w:line="276"/>
        <w:jc w:val="both"/>
      </w:pPr>
      <w:r>
        <w:rPr>
          <w:rFonts w:ascii="Arial" w:cs="Arial" w:eastAsia="Arial" w:hAnsi="Arial"/>
          <w:b w:val="false"/>
          <w:bCs w:val="false"/>
          <w:i w:val="false"/>
          <w:iCs w:val="false"/>
          <w:color w:val="000000"/>
          <w:sz w:val="22"/>
          <w:szCs w:val="22"/>
        </w:rPr>
        <w:t xml:space="preserve">A set of angles of attack: α ∈ {0°, 2°, 4°, 6°} at fixed Reynolds number — representing a cruise polar range. Single-point (α = 2°) for Phase 1 demonstration; multi-point for Phase 2.</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Shape Space and Distance</w:t>
      </w:r>
    </w:p>
    <w:p>
      <w:pPr>
        <w:spacing w:after="80" w:before="80" w:line="276"/>
        <w:jc w:val="both"/>
      </w:pPr>
      <w:r>
        <w:rPr>
          <w:rFonts w:ascii="Arial" w:cs="Arial" w:eastAsia="Arial" w:hAnsi="Arial"/>
          <w:b w:val="false"/>
          <w:bCs w:val="false"/>
          <w:i w:val="false"/>
          <w:iCs w:val="false"/>
          <w:color w:val="000000"/>
          <w:sz w:val="22"/>
          <w:szCs w:val="22"/>
        </w:rPr>
        <w:t xml:space="preserve">S = space of normalized (x,y) coordinate vectors at Ns = 100 fixed chord-wise stations (cosine clustering near leading edge). dS is the L² norm over surface coordinates, normalized by chord length.</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Dimensional Pre-Analysis</w:t>
      </w:r>
    </w:p>
    <w:p>
      <w:pPr>
        <w:spacing w:after="80" w:before="80" w:line="276"/>
        <w:jc w:val="both"/>
      </w:pPr>
      <w:r>
        <w:rPr>
          <w:rFonts w:ascii="Arial" w:cs="Arial" w:eastAsia="Arial" w:hAnsi="Arial"/>
          <w:b w:val="false"/>
          <w:bCs w:val="false"/>
          <w:i w:val="false"/>
          <w:iCs w:val="false"/>
          <w:color w:val="000000"/>
          <w:sz w:val="22"/>
          <w:szCs w:val="22"/>
        </w:rPr>
        <w:t xml:space="preserve">dim(S) = 200 (100 × and y coordinates), m = 3–4 performance metrics. dim(ℳ) = 200 − 3 ≈ 197 in full shape space — a rich manifold. Within the NACA family (dim = 3) and CST family (dim = 6–8), the effective manifold dimensions are 0 and 2–5 respectively, predicting discrete solutions for NACA and small families for CST.</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4.3 Case 2 — Structural Cross-Sections</w:t>
      </w:r>
    </w:p>
    <w:p>
      <w:pPr>
        <w:pStyle w:val="Heading3"/>
        <w:spacing w:after="80" w:before="200"/>
      </w:pPr>
      <w:r>
        <w:rPr>
          <w:rFonts w:ascii="Arial" w:cs="Arial" w:eastAsia="Arial" w:hAnsi="Arial"/>
          <w:b/>
          <w:bCs/>
          <w:color w:val="2E75B6"/>
          <w:sz w:val="24"/>
          <w:szCs w:val="24"/>
        </w:rPr>
        <w:t xml:space="preserve">Motivation</w:t>
      </w:r>
    </w:p>
    <w:p>
      <w:pPr>
        <w:spacing w:after="80" w:before="80" w:line="276"/>
        <w:jc w:val="both"/>
      </w:pPr>
      <w:r>
        <w:rPr>
          <w:rFonts w:ascii="Arial" w:cs="Arial" w:eastAsia="Arial" w:hAnsi="Arial"/>
          <w:b w:val="false"/>
          <w:bCs w:val="false"/>
          <w:i w:val="false"/>
          <w:iCs w:val="false"/>
          <w:color w:val="000000"/>
          <w:sz w:val="22"/>
          <w:szCs w:val="22"/>
        </w:rPr>
        <w:t xml:space="preserve">Closed-form, instantaneous evaluation. The equivalence between fundamentally different cross-sectional topologies (I-beam vs. box section) is a non-trivial structural design question with direct practical relevance: when two sections are mechanically equivalent, the choice between them is governed by manufacturing cost, corrosion resistance, and joining method.</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Parameterization</w:t>
      </w:r>
    </w:p>
    <w:p>
      <w:pPr>
        <w:spacing w:after="80" w:before="80" w:line="276"/>
        <w:jc w:val="both"/>
      </w:pPr>
      <w:r>
        <w:rPr>
          <w:rFonts w:ascii="Arial" w:cs="Arial" w:eastAsia="Arial" w:hAnsi="Arial"/>
          <w:b/>
          <w:bCs/>
          <w:i w:val="false"/>
          <w:iCs w:val="false"/>
          <w:color w:val="000000"/>
          <w:sz w:val="22"/>
          <w:szCs w:val="22"/>
        </w:rPr>
        <w:t xml:space="preserve">x₁ (I-beam):</w:t>
      </w:r>
      <w:r>
        <w:rPr>
          <w:rFonts w:ascii="Arial" w:cs="Arial" w:eastAsia="Arial" w:hAnsi="Arial"/>
          <w:b w:val="false"/>
          <w:bCs w:val="false"/>
          <w:i w:val="false"/>
          <w:iCs w:val="false"/>
          <w:color w:val="000000"/>
          <w:sz w:val="22"/>
          <w:szCs w:val="22"/>
        </w:rPr>
        <w:t xml:space="preserve"> flange width bₓ, flange thickness tₓ, web height h, web thickness tᵥ — 4 parameters.</w:t>
      </w:r>
    </w:p>
    <w:p>
      <w:pPr>
        <w:spacing w:after="80" w:before="80" w:line="276"/>
        <w:jc w:val="both"/>
      </w:pPr>
      <w:r>
        <w:rPr>
          <w:rFonts w:ascii="Arial" w:cs="Arial" w:eastAsia="Arial" w:hAnsi="Arial"/>
          <w:b/>
          <w:bCs/>
          <w:i w:val="false"/>
          <w:iCs w:val="false"/>
          <w:color w:val="000000"/>
          <w:sz w:val="22"/>
          <w:szCs w:val="22"/>
        </w:rPr>
        <w:t xml:space="preserve">x₂ (Box section):</w:t>
      </w:r>
      <w:r>
        <w:rPr>
          <w:rFonts w:ascii="Arial" w:cs="Arial" w:eastAsia="Arial" w:hAnsi="Arial"/>
          <w:b w:val="false"/>
          <w:bCs w:val="false"/>
          <w:i w:val="false"/>
          <w:iCs w:val="false"/>
          <w:color w:val="000000"/>
          <w:sz w:val="22"/>
          <w:szCs w:val="22"/>
        </w:rPr>
        <w:t xml:space="preserve"> outer width B, outer height H, wall thickness t, possibly variable wall — 3–4 parameters.</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Performance Vector f</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Second moment of area Iₓₓ (bending stiffness about x-axis)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Second moment of area Iyy (bending stiffness about y-axis)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Torsional stiffness GJ</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Cross-sectional area A (weight proxy)</w:t>
      </w:r>
    </w:p>
    <w:p>
      <w:pPr>
        <w:spacing w:after="80" w:before="80" w:line="276"/>
        <w:jc w:val="both"/>
      </w:pPr>
      <w:r>
        <w:rPr>
          <w:rFonts w:ascii="Arial" w:cs="Arial" w:eastAsia="Arial" w:hAnsi="Arial"/>
          <w:b w:val="false"/>
          <w:bCs w:val="false"/>
          <w:i w:val="false"/>
          <w:iCs w:val="false"/>
          <w:color w:val="000000"/>
          <w:sz w:val="22"/>
          <w:szCs w:val="22"/>
        </w:rPr>
        <w:t xml:space="preserve">Note: all four quantities are closed-form integrals. No solver is needed beyond arithmetic.</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Evaluation Parameters</w:t>
      </w:r>
    </w:p>
    <w:p>
      <w:pPr>
        <w:spacing w:after="80" w:before="80" w:line="276"/>
        <w:jc w:val="both"/>
      </w:pPr>
      <w:r>
        <w:rPr>
          <w:rFonts w:ascii="Arial" w:cs="Arial" w:eastAsia="Arial" w:hAnsi="Arial"/>
          <w:b w:val="false"/>
          <w:bCs w:val="false"/>
          <w:i w:val="false"/>
          <w:iCs w:val="false"/>
          <w:color w:val="000000"/>
          <w:sz w:val="22"/>
          <w:szCs w:val="22"/>
        </w:rPr>
        <w:t xml:space="preserve">No evaluation parameters in the traditional sense — section properties are independent of loading for linear elastic analysis. The framework reduces to the single-evaluation case P = 1 with a unit weight ω₁ = 1.</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Dimensional Pre-Analysis</w:t>
      </w:r>
    </w:p>
    <w:p>
      <w:pPr>
        <w:spacing w:after="80" w:before="80" w:line="276"/>
        <w:jc w:val="both"/>
      </w:pPr>
      <w:r>
        <w:rPr>
          <w:rFonts w:ascii="Arial" w:cs="Arial" w:eastAsia="Arial" w:hAnsi="Arial"/>
          <w:b w:val="false"/>
          <w:bCs w:val="false"/>
          <w:i w:val="false"/>
          <w:iCs w:val="false"/>
          <w:color w:val="000000"/>
          <w:sz w:val="22"/>
          <w:szCs w:val="22"/>
        </w:rPr>
        <w:t xml:space="preserve">Both families have dim(Xᵢ) = 4; m = 4 performance metrics. dim(ℳ) = 4 − 4 = 0 within each family — isolated solutions expected. This is by design: asking for exact equivalence in all four stiffness properties with only 4 design parameters in each family produces discrete equivalent pairs, not continuous families. This is the verification-like scenario within an application case — expected to yield a small number of exact equivalent pairs.</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4.4 Case 3 — Spring-Mass-Damper / Vibration Isolator</w:t>
      </w:r>
    </w:p>
    <w:p>
      <w:pPr>
        <w:pStyle w:val="Heading3"/>
        <w:spacing w:after="80" w:before="200"/>
      </w:pPr>
      <w:r>
        <w:rPr>
          <w:rFonts w:ascii="Arial" w:cs="Arial" w:eastAsia="Arial" w:hAnsi="Arial"/>
          <w:b/>
          <w:bCs/>
          <w:color w:val="2E75B6"/>
          <w:sz w:val="24"/>
          <w:szCs w:val="24"/>
        </w:rPr>
        <w:t xml:space="preserve">Motivation</w:t>
      </w:r>
    </w:p>
    <w:p>
      <w:pPr>
        <w:spacing w:after="80" w:before="80" w:line="276"/>
        <w:jc w:val="both"/>
      </w:pPr>
      <w:r>
        <w:rPr>
          <w:rFonts w:ascii="Arial" w:cs="Arial" w:eastAsia="Arial" w:hAnsi="Arial"/>
          <w:b w:val="false"/>
          <w:bCs w:val="false"/>
          <w:i w:val="false"/>
          <w:iCs w:val="false"/>
          <w:color w:val="000000"/>
          <w:sz w:val="22"/>
          <w:szCs w:val="22"/>
        </w:rPr>
        <w:t xml:space="preserve">The transmissibility function is a closed-form analytical expression. The comparison between a standard single-DOF isolator and a tuned mass damper (TMD) is an important engineering question: when are they equivalent in vibration isolation performance, and over what frequency range?</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Parameterization</w:t>
      </w:r>
    </w:p>
    <w:p>
      <w:pPr>
        <w:spacing w:after="80" w:before="80" w:line="276"/>
        <w:jc w:val="both"/>
      </w:pPr>
      <w:r>
        <w:rPr>
          <w:rFonts w:ascii="Arial" w:cs="Arial" w:eastAsia="Arial" w:hAnsi="Arial"/>
          <w:b/>
          <w:bCs/>
          <w:i w:val="false"/>
          <w:iCs w:val="false"/>
          <w:color w:val="000000"/>
          <w:sz w:val="22"/>
          <w:szCs w:val="22"/>
        </w:rPr>
        <w:t xml:space="preserve">x₁ (Standard SMD):</w:t>
      </w:r>
      <w:r>
        <w:rPr>
          <w:rFonts w:ascii="Arial" w:cs="Arial" w:eastAsia="Arial" w:hAnsi="Arial"/>
          <w:b w:val="false"/>
          <w:bCs w:val="false"/>
          <w:i w:val="false"/>
          <w:iCs w:val="false"/>
          <w:color w:val="000000"/>
          <w:sz w:val="22"/>
          <w:szCs w:val="22"/>
        </w:rPr>
        <w:t xml:space="preserve"> mass m₁, stiffness k₁, damping c₁ — 3 parameters. Degenerate case: shape space S = physical parameter space ℝ³.</w:t>
      </w:r>
    </w:p>
    <w:p>
      <w:pPr>
        <w:spacing w:after="80" w:before="80" w:line="276"/>
        <w:jc w:val="both"/>
      </w:pPr>
      <w:r>
        <w:rPr>
          <w:rFonts w:ascii="Arial" w:cs="Arial" w:eastAsia="Arial" w:hAnsi="Arial"/>
          <w:b/>
          <w:bCs/>
          <w:i w:val="false"/>
          <w:iCs w:val="false"/>
          <w:color w:val="000000"/>
          <w:sz w:val="22"/>
          <w:szCs w:val="22"/>
        </w:rPr>
        <w:t xml:space="preserve">x₂ (TMD — Tuned Mass Damper):</w:t>
      </w:r>
      <w:r>
        <w:rPr>
          <w:rFonts w:ascii="Arial" w:cs="Arial" w:eastAsia="Arial" w:hAnsi="Arial"/>
          <w:b w:val="false"/>
          <w:bCs w:val="false"/>
          <w:i w:val="false"/>
          <w:iCs w:val="false"/>
          <w:color w:val="000000"/>
          <w:sz w:val="22"/>
          <w:szCs w:val="22"/>
        </w:rPr>
        <w:t xml:space="preserve"> primary mass m₁, primary stiffness k₁ (shared with host structure), absorber mass m₂, absorber stiffness k₂, absorber damping c₂ — 5 parameters.</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Performance Vector f</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Peak transmissibility T_max over the target frequency band</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Transmissibility at natural frequency ωₙ</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Frequency range for T &lt; 1 (isolation effectiveness)</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Evaluation Parameters A</w:t>
      </w:r>
    </w:p>
    <w:p>
      <w:pPr>
        <w:spacing w:after="80" w:before="80" w:line="276"/>
        <w:jc w:val="both"/>
      </w:pPr>
      <w:r>
        <w:rPr>
          <w:rFonts w:ascii="Arial" w:cs="Arial" w:eastAsia="Arial" w:hAnsi="Arial"/>
          <w:b w:val="false"/>
          <w:bCs w:val="false"/>
          <w:i w:val="false"/>
          <w:iCs w:val="false"/>
          <w:color w:val="000000"/>
          <w:sz w:val="22"/>
          <w:szCs w:val="22"/>
        </w:rPr>
        <w:t xml:space="preserve">Excitation frequency ω evaluated at a discrete set spanning the frequency band of interest: typically 20–50 frequency points around the natural frequency of the primary system.</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Dimensional Pre-Analysis</w:t>
      </w:r>
    </w:p>
    <w:p>
      <w:pPr>
        <w:spacing w:after="80" w:before="80" w:line="276"/>
        <w:jc w:val="both"/>
      </w:pPr>
      <w:r>
        <w:rPr>
          <w:rFonts w:ascii="Arial" w:cs="Arial" w:eastAsia="Arial" w:hAnsi="Arial"/>
          <w:b w:val="false"/>
          <w:bCs w:val="false"/>
          <w:i w:val="false"/>
          <w:iCs w:val="false"/>
          <w:color w:val="000000"/>
          <w:sz w:val="22"/>
          <w:szCs w:val="22"/>
        </w:rPr>
        <w:t xml:space="preserve">SMD family: dim(X₁) = 3, TMD family: dim(X₂) = 5. m = 3 performance metrics. Within the SMD family, dim(ℳ₁) = 3 − 3 = 0; within the TMD family, dim(ℳ₂) = 5 − 3 = 2 — a two-dimensional family of TMD configurations equivalent to a given optimized SMD. This is the most interesting case: the inner optimizer samples a continuous two-dimensional manifold of equivalent TMD designs.</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4.5 Verification Case — Four-Bar Linkage / Roberts-Chebyshev</w:t>
      </w:r>
    </w:p>
    <w:p>
      <w:pPr>
        <w:pStyle w:val="Heading3"/>
        <w:spacing w:after="80" w:before="200"/>
      </w:pPr>
      <w:r>
        <w:rPr>
          <w:rFonts w:ascii="Arial" w:cs="Arial" w:eastAsia="Arial" w:hAnsi="Arial"/>
          <w:b/>
          <w:bCs/>
          <w:color w:val="2E75B6"/>
          <w:sz w:val="24"/>
          <w:szCs w:val="24"/>
        </w:rPr>
        <w:t xml:space="preserve">Theorem Statement</w:t>
      </w:r>
    </w:p>
    <w:p>
      <w:pPr>
        <w:spacing w:after="80" w:before="80" w:line="276"/>
        <w:jc w:val="both"/>
      </w:pPr>
      <w:r>
        <w:rPr>
          <w:rFonts w:ascii="Arial" w:cs="Arial" w:eastAsia="Arial" w:hAnsi="Arial"/>
          <w:b w:val="false"/>
          <w:bCs w:val="false"/>
          <w:i w:val="false"/>
          <w:iCs w:val="false"/>
          <w:color w:val="000000"/>
          <w:sz w:val="22"/>
          <w:szCs w:val="22"/>
        </w:rPr>
        <w:t xml:space="preserve">The Roberts-Chebyshev theorem (Roberts 1875, Chebyshev 1878) states that for every coupler curve traceable by a four-bar linkage, there exist exactly three four-bar linkages (cognates) that generate the same coupler curve. This is a known zero-dimensional manifold result — exactly the degenerate case predicted by dim(ℳ) = dim(S) − m when m = dim(S).</w:t>
      </w:r>
    </w:p>
    <w:p>
      <w:pPr>
        <w:spacing w:after="0" w:before="4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2E75B6"/>
          <w:sz w:val="24"/>
          <w:szCs w:val="24"/>
        </w:rPr>
        <w:t xml:space="preserve">Role in the Framework</w:t>
      </w:r>
    </w:p>
    <w:p>
      <w:pPr>
        <w:spacing w:after="80" w:before="80" w:line="276"/>
        <w:jc w:val="both"/>
      </w:pPr>
      <w:r>
        <w:rPr>
          <w:rFonts w:ascii="Arial" w:cs="Arial" w:eastAsia="Arial" w:hAnsi="Arial"/>
          <w:b w:val="false"/>
          <w:bCs w:val="false"/>
          <w:i w:val="false"/>
          <w:iCs w:val="false"/>
          <w:color w:val="000000"/>
          <w:sz w:val="22"/>
          <w:szCs w:val="22"/>
        </w:rPr>
        <w:t xml:space="preserve">The BIO framework applied to the four-bar problem should:</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Recover all three cognate linkages through the pair and triplet formulations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Confirm dim(ℳ) = 0 through failed manifold sampling (sequential diversity search finds no further solutions beyond the three cognates)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Demonstrate that the framework correctly identifies isolated-point manifolds, not just continuous families</w:t>
      </w:r>
    </w:p>
    <w:p>
      <w:pPr>
        <w:spacing w:after="80" w:before="80" w:line="276"/>
        <w:jc w:val="both"/>
      </w:pPr>
      <w:r>
        <w:rPr>
          <w:rFonts w:ascii="Arial" w:cs="Arial" w:eastAsia="Arial" w:hAnsi="Arial"/>
          <w:b/>
          <w:bCs/>
          <w:i w:val="false"/>
          <w:iCs w:val="false"/>
          <w:color w:val="000000"/>
          <w:sz w:val="22"/>
          <w:szCs w:val="22"/>
        </w:rPr>
        <w:t xml:space="preserve">This serves as the </w:t>
      </w:r>
      <w:r>
        <w:rPr>
          <w:rFonts w:ascii="Arial" w:cs="Arial" w:eastAsia="Arial" w:hAnsi="Arial"/>
          <w:b/>
          <w:bCs/>
          <w:i/>
          <w:iCs/>
          <w:color w:val="000000"/>
          <w:sz w:val="22"/>
          <w:szCs w:val="22"/>
        </w:rPr>
        <w:t xml:space="preserve">independent verification of the framework</w:t>
      </w:r>
      <w:r>
        <w:rPr>
          <w:rFonts w:ascii="Arial" w:cs="Arial" w:eastAsia="Arial" w:hAnsi="Arial"/>
          <w:b w:val="false"/>
          <w:bCs w:val="false"/>
          <w:i w:val="false"/>
          <w:iCs w:val="false"/>
          <w:color w:val="000000"/>
          <w:sz w:val="22"/>
          <w:szCs w:val="22"/>
        </w:rPr>
        <w:t xml:space="preserve"> — if BIO recovers a known classical result exactly, confidence in the novel application results is substantially strengthened.</w:t>
      </w:r>
    </w:p>
    <w:p>
      <w:r>
        <w:br w:type="page"/>
      </w:r>
    </w:p>
    <w:p>
      <w:pPr>
        <w:pStyle w:val="Heading1"/>
        <w:spacing w:after="120" w:before="360"/>
      </w:pPr>
      <w:r>
        <w:rPr>
          <w:rFonts w:ascii="Arial" w:cs="Arial" w:eastAsia="Arial" w:hAnsi="Arial"/>
          <w:b/>
          <w:bCs/>
          <w:color w:val="FFFFFF"/>
          <w:sz w:val="36"/>
          <w:szCs w:val="36"/>
        </w:rPr>
        <w:t xml:space="preserve">5. Research and Publication Strategy</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5.1 Two-Stage Publication Arc</w:t>
      </w:r>
    </w:p>
    <w:p>
      <w:pPr>
        <w:spacing w:after="0" w:before="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2200"/>
        <w:gridCol w:w="14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Venue</w:t>
            </w:r>
          </w:p>
        </w:tc>
        <w:tc>
          <w:tcPr>
            <w:tcW w:type="dxa" w:w="1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Stage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BIO framework paper: general methodology demonstrated across 3 application cases + 1 verification case. Airfoils (XFOIL), structural sections (closed-form), SMD/TMD (transfer function), four-bar (Roberts-Chebyshev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Engineering Optimization  or  Structural and Multidisciplinary Optimization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Framework complete — instantiation pending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Stage 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BIO applied to six-bar and higher-order linkages where no analytical cognate theorem exists. Computational discovery of equivalent mechanisms as an open problem. Builds on Stage 1 framework credibility.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Mechanism and Machine Theory</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Future work</w:t>
            </w:r>
          </w:p>
        </w:tc>
      </w:tr>
    </w:tbl>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5.2 Why NOT the Four-Bar as Primary Application</w:t>
      </w:r>
    </w:p>
    <w:p>
      <w:pPr>
        <w:spacing w:after="80" w:before="80" w:line="276"/>
        <w:jc w:val="both"/>
      </w:pPr>
      <w:r>
        <w:rPr>
          <w:rFonts w:ascii="Arial" w:cs="Arial" w:eastAsia="Arial" w:hAnsi="Arial"/>
          <w:b w:val="false"/>
          <w:bCs w:val="false"/>
          <w:i w:val="false"/>
          <w:iCs w:val="false"/>
          <w:color w:val="000000"/>
          <w:sz w:val="22"/>
          <w:szCs w:val="22"/>
        </w:rPr>
        <w:t xml:space="preserve">The Roberts-Chebyshev theorem is extensively covered in the literature:</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Exact algebraic synthesis of all three cognates from coupler-curve coefficients exists (ScienceDirect, 2015)</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Complex-vector methods construct cognates for four-bar, six-bar, eight-bar, and ten-bar linkages (ASME J. Mech. Rob., 2021)</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Homotopy continuation finds 274 distinct four-bar linkages approximating straight-line paths, organized in a UMAP atlas (ScienceDirect, 2023)</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ML/VAE frameworks encode mechanism parameters and compute cognates as post-processing (recent)</w:t>
      </w:r>
    </w:p>
    <w:p>
      <w:pPr>
        <w:spacing w:after="80" w:before="80" w:line="276"/>
        <w:jc w:val="both"/>
      </w:pPr>
      <w:r>
        <w:rPr>
          <w:rFonts w:ascii="Arial" w:cs="Arial" w:eastAsia="Arial" w:hAnsi="Arial"/>
          <w:b w:val="false"/>
          <w:bCs w:val="false"/>
          <w:i w:val="false"/>
          <w:iCs w:val="false"/>
          <w:color w:val="000000"/>
          <w:sz w:val="22"/>
          <w:szCs w:val="22"/>
        </w:rPr>
        <w:t xml:space="preserve">Using a bilevel optimizer to rediscover the Roberts-Chebyshev theorem would be rejected by mechanism reviewers as a known result approached with an unnecessarily heavy computational tool. The four-bar case is powerful precisely as a verification scenario — not as the primary contribution.</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5.3 Why the Stage 1 Application Cases Were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2D Airfoil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Struct. Sections</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SMD/TMD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Physics model trustworthiness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XFOIL: viscous, well-validated, sub-second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Closed-form: exact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Analytical: exact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CFD/FEA validation needed?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2D RANS only (cheap)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Simple FEA or none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Shaker table or 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Heterogeneous parameterization?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Yes: NACA vs. CST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Yes: I-beam vs. box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Yes: SMD vs. TMD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Expected manifold dimension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Rich within CST family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Isolated (0-dim) pairs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2-dim TMD family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Literature novelty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No prior isoperformance airfoil 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No prior work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No prior work</w:t>
            </w:r>
          </w:p>
        </w:tc>
      </w:tr>
    </w:tbl>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5.4 Solver Strategy</w:t>
      </w:r>
    </w:p>
    <w:p>
      <w:pPr>
        <w:spacing w:after="80" w:before="80" w:line="276"/>
        <w:jc w:val="both"/>
      </w:pPr>
      <w:r>
        <w:rPr>
          <w:rFonts w:ascii="Arial" w:cs="Arial" w:eastAsia="Arial" w:hAnsi="Arial"/>
          <w:b w:val="false"/>
          <w:bCs w:val="false"/>
          <w:i w:val="false"/>
          <w:iCs w:val="false"/>
          <w:color w:val="000000"/>
          <w:sz w:val="22"/>
          <w:szCs w:val="22"/>
        </w:rPr>
        <w:t xml:space="preserve">Differential Evolution (DE) is the optimizer of choice at both levels, consistent with existing expertise. Key computational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1800"/>
        <w:gridCol w:w="28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Loop</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Evaluations per run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per eval</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Outer (upper level)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500–2000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Calls inner loop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Must handle non-smooth ε*(x₁)</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Inner (lower level)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100–500 per outer call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Direct physics eval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Must be fast — runs inside every outer eval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Manifold sampling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DE with exclusion zones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100–500 per sample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Direct physics eval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Post-optimization, runs R times</w:t>
            </w:r>
          </w:p>
        </w:tc>
      </w:tr>
    </w:tbl>
    <w:p>
      <w:r>
        <w:br w:type="page"/>
      </w:r>
    </w:p>
    <w:p>
      <w:pPr>
        <w:pStyle w:val="Heading1"/>
        <w:spacing w:after="120" w:before="360"/>
      </w:pPr>
      <w:r>
        <w:rPr>
          <w:rFonts w:ascii="Arial" w:cs="Arial" w:eastAsia="Arial" w:hAnsi="Arial"/>
          <w:b/>
          <w:bCs/>
          <w:color w:val="FFFFFF"/>
          <w:sz w:val="36"/>
          <w:szCs w:val="36"/>
        </w:rPr>
        <w:t xml:space="preserve">6. Open Questions and Next Steps</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6.1 Resolved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Resolution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Should we start from pairs/triplets or manifolds?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Top-down: manifold first. Pairs and triplets derived as minimal sampling instances.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Does δ alone guarantee distinct equivalents?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No. δ guarantees geometric distinctness but not existence of equivalent. Dimensional formula predicts feasibility.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Are parameterization heterogeneity and δ interchangeable?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No. They operate at different levels (representation vs. geometry) and are hierarchically complementary.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Should f* be fixed or adaptive in the inner loop?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Adaptive. f* = F₁(x₁) tracking the current outer candidate. Fixed f* breaks the bilevel 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Is the bilevel structure preserved after top-down reformulation?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Yes, confirmed after catching and correcting the decoupling error in the intermediate formulation.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Should we include bio-inspired winglets?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No. Deferred — requires advanced unsteady aerodynamic tools.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Should we include pressure distribution equivalence?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No. Integration quantities (Cl, Cd, Cm, Γ-moments) are achievable; pointwise pressure matching is not.</w:t>
            </w:r>
          </w:p>
        </w:tc>
      </w:tr>
    </w:tbl>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6.2 Immediate Next Steps</w:t>
      </w:r>
    </w:p>
    <w:p>
      <w:pPr>
        <w:pStyle w:val="ListParagraph"/>
        <w:numPr>
          <w:ilvl w:val="0"/>
          <w:numId w:val="3"/>
        </w:numPr>
        <w:spacing w:after="60" w:before="60"/>
      </w:pPr>
      <w:r>
        <w:rPr>
          <w:rFonts w:ascii="Arial" w:cs="Arial" w:eastAsia="Arial" w:hAnsi="Arial"/>
          <w:b w:val="false"/>
          <w:bCs w:val="false"/>
          <w:i w:val="false"/>
          <w:iCs w:val="false"/>
          <w:color w:val="000000"/>
          <w:sz w:val="22"/>
          <w:szCs w:val="22"/>
        </w:rPr>
        <w:t xml:space="preserve">Instantiate the framework for each application case: define f, φᵢ, Xᵢ, and dS explicitly for airfoils, structural sections, and SMD/TMD.</w:t>
      </w:r>
    </w:p>
    <w:p>
      <w:pPr>
        <w:pStyle w:val="ListParagraph"/>
        <w:numPr>
          <w:ilvl w:val="0"/>
          <w:numId w:val="3"/>
        </w:numPr>
        <w:spacing w:after="60" w:before="60"/>
      </w:pPr>
      <w:r>
        <w:rPr>
          <w:rFonts w:ascii="Arial" w:cs="Arial" w:eastAsia="Arial" w:hAnsi="Arial"/>
          <w:b w:val="false"/>
          <w:bCs w:val="false"/>
          <w:i w:val="false"/>
          <w:iCs w:val="false"/>
          <w:color w:val="000000"/>
          <w:sz w:val="22"/>
          <w:szCs w:val="22"/>
        </w:rPr>
        <w:t xml:space="preserve">Perform dimensional pre-analysis for each case: confirm expected manifold dimension and feasibility conditions before implementation.</w:t>
      </w:r>
    </w:p>
    <w:p>
      <w:pPr>
        <w:pStyle w:val="ListParagraph"/>
        <w:numPr>
          <w:ilvl w:val="0"/>
          <w:numId w:val="3"/>
        </w:numPr>
        <w:spacing w:after="60" w:before="60"/>
      </w:pPr>
      <w:r>
        <w:rPr>
          <w:rFonts w:ascii="Arial" w:cs="Arial" w:eastAsia="Arial" w:hAnsi="Arial"/>
          <w:b w:val="false"/>
          <w:bCs w:val="false"/>
          <w:i w:val="false"/>
          <w:iCs w:val="false"/>
          <w:color w:val="000000"/>
          <w:sz w:val="22"/>
          <w:szCs w:val="22"/>
        </w:rPr>
        <w:t xml:space="preserve">Implement the inner-level DE for the structural sections case first (fastest, closed-form) as a proof-of-concept of the bilevel loop.</w:t>
      </w:r>
    </w:p>
    <w:p>
      <w:pPr>
        <w:pStyle w:val="ListParagraph"/>
        <w:numPr>
          <w:ilvl w:val="0"/>
          <w:numId w:val="3"/>
        </w:numPr>
        <w:spacing w:after="60" w:before="60"/>
      </w:pPr>
      <w:r>
        <w:rPr>
          <w:rFonts w:ascii="Arial" w:cs="Arial" w:eastAsia="Arial" w:hAnsi="Arial"/>
          <w:b w:val="false"/>
          <w:bCs w:val="false"/>
          <w:i w:val="false"/>
          <w:iCs w:val="false"/>
          <w:color w:val="000000"/>
          <w:sz w:val="22"/>
          <w:szCs w:val="22"/>
        </w:rPr>
        <w:t xml:space="preserve">Implement XFOIL coupling for the airfoil case inner loop.</w:t>
      </w:r>
    </w:p>
    <w:p>
      <w:pPr>
        <w:pStyle w:val="ListParagraph"/>
        <w:numPr>
          <w:ilvl w:val="0"/>
          <w:numId w:val="3"/>
        </w:numPr>
        <w:spacing w:after="60" w:before="60"/>
      </w:pPr>
      <w:r>
        <w:rPr>
          <w:rFonts w:ascii="Arial" w:cs="Arial" w:eastAsia="Arial" w:hAnsi="Arial"/>
          <w:b w:val="false"/>
          <w:bCs w:val="false"/>
          <w:i w:val="false"/>
          <w:iCs w:val="false"/>
          <w:color w:val="000000"/>
          <w:sz w:val="22"/>
          <w:szCs w:val="22"/>
        </w:rPr>
        <w:t xml:space="preserve">Implement the four-bar verification case: confirm recovery of all three Roberts-Chebyshev cognates.</w:t>
      </w:r>
    </w:p>
    <w:p>
      <w:pPr>
        <w:pStyle w:val="ListParagraph"/>
        <w:numPr>
          <w:ilvl w:val="0"/>
          <w:numId w:val="3"/>
        </w:numPr>
        <w:spacing w:after="60" w:before="60"/>
      </w:pPr>
      <w:r>
        <w:rPr>
          <w:rFonts w:ascii="Arial" w:cs="Arial" w:eastAsia="Arial" w:hAnsi="Arial"/>
          <w:b w:val="false"/>
          <w:bCs w:val="false"/>
          <w:i w:val="false"/>
          <w:iCs w:val="false"/>
          <w:color w:val="000000"/>
          <w:sz w:val="22"/>
          <w:szCs w:val="22"/>
        </w:rPr>
        <w:t xml:space="preserve">Draft the paper structure around the three-layer framework: existence → multiplicity → structure.</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2E75B6" w:sz="4" w:space="4"/>
        </w:pBdr>
        <w:spacing w:after="100" w:before="280"/>
      </w:pPr>
      <w:r>
        <w:rPr>
          <w:rFonts w:ascii="Arial" w:cs="Arial" w:eastAsia="Arial" w:hAnsi="Arial"/>
          <w:b/>
          <w:bCs/>
          <w:color w:val="1F4E79"/>
          <w:sz w:val="28"/>
          <w:szCs w:val="28"/>
        </w:rPr>
        <w:t xml:space="preserve">6.3 Open Theoretical Questions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Choice of δ: how to select the minimum distinctness threshold in a principled, domain-independent way? A continuation approach (sweeping δ) may characterize the sensitivity of the isoperformance set to the exclusion radius.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Convergence of sequential manifold sampling: does the sequential diversity-enforcing algorithm converge to a well-distributed set of manifold points? Or does it cluster? This may require a repulsion-weighted formulation.</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Manifold connectivity: is ℳᵢ a single connected component, or can it be disjoint? Disjoint components have distinct physical interpretations (e.g., two geometrically unrelated cross-sections that happen to be stiffness-equivalent).</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Sensitivity of equivalence to ε_tol: how does the size and structure of ℳ change as the tolerance is tightened? A tolerance-continuation sweep could generate a 'persistence diagram' of the manifold.</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Extension to N &gt; 3 families: is the joint inner problem over X₂ × X₃ × … × X_N tractable with DE for N = 4 or 5? At what N does the inner problem become computationally prohibitive?</w:t>
      </w:r>
    </w:p>
    <w:p>
      <w:r>
        <w:br w:type="page"/>
      </w:r>
    </w:p>
    <w:p>
      <w:pPr>
        <w:pStyle w:val="Heading1"/>
        <w:spacing w:after="120" w:before="360"/>
      </w:pPr>
      <w:r>
        <w:rPr>
          <w:rFonts w:ascii="Arial" w:cs="Arial" w:eastAsia="Arial" w:hAnsi="Arial"/>
          <w:b/>
          <w:bCs/>
          <w:color w:val="FFFFFF"/>
          <w:sz w:val="36"/>
          <w:szCs w:val="36"/>
        </w:rPr>
        <w:t xml:space="preserve">7. Key Definitions and Notation</w:t>
      </w:r>
    </w:p>
    <w:p>
      <w:pPr>
        <w:spacing w:after="0"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 / Term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Common shape space — normed vector space of physical geometric representations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Evaluation parameter space — external inputs at which performance is assessed (α ∈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α</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Evaluation parameter — domain-neutral term (aerodynamic state, load case, frequency)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f : S × A → ℝᵐ</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Performance map — assigns m performance quantities to each shape-evaluation pair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φᵢ : Xᵢ → 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Realization map — converts parameter vector xᵢ to physical shape representation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Fᵢ(xᵢ, α)</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Parametric performance map: Fᵢ(xᵢ,α) = f(φᵢ(xᵢ), α)</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dS(xᵢ, xⱼ)</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Shape-space distance: ‖φᵢ(xᵢ) − φⱼ(xⱼ)‖_S — defined for any two families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ℛ(x₁, xᵢ)</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Normalized cross-configuration performance residual — measures performance distance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ε_tol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Isoperformance tolerance — maximum acceptable normalized performance residual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εᵢ*(x₁)</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Optimal lower-level residual — minimum ℛ achievable in family i given x₁</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δ</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Minimum distinctness threshold — enforces geometric separation in shape space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ℳ(f*, ε_tol)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Isoperformance manifold — set of all shapes in S within ε_tol of target performance 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ℳᵢ(f*, ε_tol)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Pre-image of ℳ within family i — equivalent designs in parameter space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dim(ℳ) = dim(S) − 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Dimensional formula — predicts manifold dimensionality under regularity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J</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Outer objective — scalar performance metric to be minimized (drag, compliance,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G ≤ 0</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Outer performance constraints — physical requirements on x₁ (lift target, stress limits)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wₖ</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Performance metric weights — normalize across m performance components (Σwₖ = 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ωⱼ</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Evaluation parameter weights — weight importance of each α⁽ʲ⁾ (Σωⱼ =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fₖʳᵉᶠ</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Reference performance values — normalize ℛ to be dimensionless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BIO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Bilevel Isoperformance Optimization — the framework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Isoperformance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Having equal or equivalent performance; generalization of 'isoperimetric'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Cognate linkages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0000"/>
                <w:sz w:val="19"/>
                <w:szCs w:val="19"/>
              </w:rPr>
              <w:t xml:space="preserve">Four-bar linkages generating the same coupler curve — Roberts-Chebyshev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Representational near-triviality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19"/>
                <w:szCs w:val="19"/>
              </w:rPr>
              <w:t xml:space="preserve">Two geometrically near-identical shapes in different parameterizations — excluded by δ in S</w:t>
            </w:r>
          </w:p>
        </w:tc>
      </w:tr>
    </w:tbl>
    <w:p>
      <w:pPr>
        <w:spacing w:after="0" w:before="160"/>
      </w:pPr>
      <w:r>
        <w:rPr>
          <w:rFonts w:ascii="Arial" w:cs="Arial" w:eastAsia="Arial" w:hAnsi="Arial"/>
          <w:b w:val="false"/>
          <w:bCs w:val="false"/>
          <w:i w:val="false"/>
          <w:iCs w:val="false"/>
          <w:color w:val="000000"/>
          <w:sz w:val="22"/>
          <w:szCs w:val="22"/>
        </w:rPr>
        <w:t xml:space="preserve"/>
      </w:r>
    </w:p>
    <w:p>
      <w:pPr>
        <w:pBdr>
          <w:top w:val="single" w:color="2E75B6" w:sz="4" w:space="8"/>
        </w:pBdr>
        <w:spacing w:after="80" w:before="200"/>
        <w:jc w:val="center"/>
      </w:pPr>
      <w:r>
        <w:rPr>
          <w:rFonts w:ascii="Arial" w:cs="Arial" w:eastAsia="Arial" w:hAnsi="Arial"/>
          <w:b w:val="false"/>
          <w:bCs w:val="false"/>
          <w:i/>
          <w:iCs/>
          <w:color w:val="595959"/>
          <w:sz w:val="20"/>
          <w:szCs w:val="20"/>
        </w:rPr>
        <w:t xml:space="preserve">End of Compendium — Working Document, April 2026</w:t>
      </w:r>
    </w:p>
    <w:p>
      <w:pPr>
        <w:jc w:val="center"/>
      </w:pPr>
      <w:r>
        <w:rPr>
          <w:rFonts w:ascii="Arial" w:cs="Arial" w:eastAsia="Arial" w:hAnsi="Arial"/>
          <w:b w:val="false"/>
          <w:bCs w:val="false"/>
          <w:i w:val="false"/>
          <w:iCs w:val="false"/>
          <w:color w:val="595959"/>
          <w:sz w:val="18"/>
          <w:szCs w:val="18"/>
        </w:rPr>
        <w:t xml:space="preserve">Laboratory of Unmanned Aerial Systems (LUAS-EPN)  |  Escuela Politécnica Nacional  |  KU Leuven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jc w:val="center"/>
    </w:pPr>
    <w:r>
      <w:rPr>
        <w:rFonts w:ascii="Arial" w:cs="Arial" w:eastAsia="Arial" w:hAnsi="Arial"/>
        <w:color w:val="595959"/>
        <w:sz w:val="18"/>
        <w:szCs w:val="18"/>
      </w:rPr>
      <w:t xml:space="preserve">BIO Framework — Research Compendium   |   </w:t>
    </w:r>
    <w:r>
      <w:rPr>
        <w:rFonts w:ascii="Arial" w:cs="Arial" w:eastAsia="Arial" w:hAnsi="Arial"/>
        <w:color w:val="595959"/>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sz w:val="22"/>
        <w:szCs w:val="22"/>
      </w:rPr>
    </w:lvl>
    <w:lvl w:ilvl="1" w15:tentative="1">
      <w:start w:val="1"/>
      <w:numFmt w:val="bullet"/>
      <w:lvlText w:val="◦"/>
      <w:lvlJc w:val="left"/>
      <w:pPr>
        <w:ind w:left="880" w:hanging="24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480" w:hanging="24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120" w:before="360"/>
      <w:ind w:left="240" w:right="24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2026-04-13T22:19:49.500Z</dcterms:created>
  <dcterms:modified xsi:type="dcterms:W3CDTF">2026-04-13T22:19:49.502Z</dcterms:modified>
</cp:coreProperties>
</file>

<file path=docProps/custom.xml><?xml version="1.0" encoding="utf-8"?>
<Properties xmlns="http://schemas.openxmlformats.org/officeDocument/2006/custom-properties" xmlns:vt="http://schemas.openxmlformats.org/officeDocument/2006/docPropsVTypes"/>
</file>