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1704" w14:textId="0A8A75E4" w:rsidR="005E5E81" w:rsidRPr="00AD169B" w:rsidRDefault="005E5E81" w:rsidP="005E5E81">
      <w:pPr>
        <w:rPr>
          <w:b/>
          <w:bCs/>
        </w:rPr>
      </w:pPr>
      <w:r w:rsidRPr="00AD169B">
        <w:rPr>
          <w:b/>
          <w:bCs/>
        </w:rPr>
        <w:t xml:space="preserve">Guía # </w:t>
      </w:r>
      <w:r>
        <w:rPr>
          <w:b/>
          <w:bCs/>
        </w:rPr>
        <w:t>2</w:t>
      </w:r>
    </w:p>
    <w:p w14:paraId="577275CB" w14:textId="06B60909" w:rsidR="00922464" w:rsidRDefault="00922464" w:rsidP="00922464">
      <w:pPr>
        <w:spacing w:after="0" w:line="240" w:lineRule="auto"/>
      </w:pPr>
      <w:r w:rsidRPr="00922464">
        <w:t>Título de la Sesión: Cateterización Arterial, Biofísica de Transductores y Dinámica de la Onda de Presión</w:t>
      </w:r>
    </w:p>
    <w:p w14:paraId="7A90F15E" w14:textId="77777777" w:rsidR="00922464" w:rsidRPr="00922464" w:rsidRDefault="00922464" w:rsidP="00922464">
      <w:pPr>
        <w:spacing w:after="0" w:line="240" w:lineRule="auto"/>
      </w:pPr>
    </w:p>
    <w:p w14:paraId="5D1DE36E" w14:textId="77777777" w:rsidR="00922464" w:rsidRPr="00922464" w:rsidRDefault="00922464" w:rsidP="00922464">
      <w:pPr>
        <w:spacing w:after="0" w:line="240" w:lineRule="auto"/>
      </w:pPr>
      <w:r w:rsidRPr="00922464">
        <w:rPr>
          <w:b/>
          <w:bCs/>
        </w:rPr>
        <w:t>Objetivos de Aprendizaje</w:t>
      </w:r>
    </w:p>
    <w:p w14:paraId="5EAAE85F" w14:textId="77777777" w:rsidR="00922464" w:rsidRDefault="00922464" w:rsidP="00922464">
      <w:pPr>
        <w:spacing w:after="0" w:line="240" w:lineRule="auto"/>
      </w:pPr>
      <w:r w:rsidRPr="00922464">
        <w:t xml:space="preserve">• </w:t>
      </w:r>
      <w:r w:rsidRPr="00922464">
        <w:rPr>
          <w:b/>
          <w:bCs/>
        </w:rPr>
        <w:t>Correlacionar</w:t>
      </w:r>
      <w:r w:rsidRPr="00922464">
        <w:t xml:space="preserve"> el modelo de </w:t>
      </w:r>
      <w:proofErr w:type="spellStart"/>
      <w:r w:rsidRPr="00922464">
        <w:t>Windkessel</w:t>
      </w:r>
      <w:proofErr w:type="spellEnd"/>
      <w:r w:rsidRPr="00922464">
        <w:t xml:space="preserve"> de múltiples componentes (resistencia periférica, </w:t>
      </w:r>
      <w:proofErr w:type="spellStart"/>
      <w:r w:rsidRPr="00922464">
        <w:t>compliance</w:t>
      </w:r>
      <w:proofErr w:type="spellEnd"/>
      <w:r w:rsidRPr="00922464">
        <w:t xml:space="preserve"> arterial e impedancia característica) con la capacidad del sistema arterial para amortiguar las oscilaciones de flujo y convertir la eyección ventricular intermitente en un flujo tisular casi continuo.</w:t>
      </w:r>
    </w:p>
    <w:p w14:paraId="070938C6" w14:textId="77777777" w:rsidR="00922464" w:rsidRPr="00922464" w:rsidRDefault="00922464" w:rsidP="00922464">
      <w:pPr>
        <w:spacing w:after="0" w:line="240" w:lineRule="auto"/>
      </w:pPr>
    </w:p>
    <w:p w14:paraId="5DA1768D" w14:textId="77777777" w:rsidR="00922464" w:rsidRPr="00922464" w:rsidRDefault="00922464" w:rsidP="00922464">
      <w:pPr>
        <w:spacing w:after="0" w:line="240" w:lineRule="auto"/>
      </w:pPr>
      <w:r w:rsidRPr="00922464">
        <w:t xml:space="preserve">• </w:t>
      </w:r>
      <w:r w:rsidRPr="00922464">
        <w:rPr>
          <w:b/>
          <w:bCs/>
        </w:rPr>
        <w:t>Gestionar</w:t>
      </w:r>
      <w:r w:rsidRPr="00922464">
        <w:t xml:space="preserve"> la técnica de cateterización arterial mediante el método de </w:t>
      </w:r>
      <w:proofErr w:type="spellStart"/>
      <w:r w:rsidRPr="00922464">
        <w:t>Seldinger</w:t>
      </w:r>
      <w:proofErr w:type="spellEnd"/>
      <w:r w:rsidRPr="00922464">
        <w:t xml:space="preserve"> o catéter sobre aguja, seleccionando el sitio anatómico óptimo (radial, femoral, axilar o pedio) basándose en la evaluación de la circulación colateral y el perfil de riesgo de complicaciones isquémicas o infecciosas.</w:t>
      </w:r>
    </w:p>
    <w:p w14:paraId="5E21DA1E" w14:textId="77777777" w:rsidR="00922464" w:rsidRDefault="00922464" w:rsidP="00922464">
      <w:pPr>
        <w:spacing w:after="0" w:line="240" w:lineRule="auto"/>
      </w:pPr>
    </w:p>
    <w:p w14:paraId="164DEA99" w14:textId="07D3A9B3" w:rsidR="00922464" w:rsidRPr="00922464" w:rsidRDefault="00922464" w:rsidP="00922464">
      <w:pPr>
        <w:spacing w:after="0" w:line="240" w:lineRule="auto"/>
      </w:pPr>
      <w:r w:rsidRPr="00922464">
        <w:t xml:space="preserve">• </w:t>
      </w:r>
      <w:r w:rsidRPr="00922464">
        <w:rPr>
          <w:b/>
          <w:bCs/>
        </w:rPr>
        <w:t>Analizar</w:t>
      </w:r>
      <w:r w:rsidRPr="00922464">
        <w:t xml:space="preserve"> los principios físicos de la transducción de presión, discriminando cómo la deformación mecánica del diafragma del transductor altera la resistencia eléctrica en las galgas extensiométricas (</w:t>
      </w:r>
      <w:proofErr w:type="spellStart"/>
      <w:r w:rsidRPr="00922464">
        <w:rPr>
          <w:i/>
          <w:iCs/>
        </w:rPr>
        <w:t>strain</w:t>
      </w:r>
      <w:proofErr w:type="spellEnd"/>
      <w:r w:rsidRPr="00922464">
        <w:rPr>
          <w:i/>
          <w:iCs/>
        </w:rPr>
        <w:t xml:space="preserve"> gauges</w:t>
      </w:r>
      <w:r w:rsidRPr="00922464">
        <w:t>) para generar una señal procesable por el monitor.</w:t>
      </w:r>
    </w:p>
    <w:p w14:paraId="13C3BB87" w14:textId="77777777" w:rsidR="00922464" w:rsidRDefault="00922464" w:rsidP="00922464">
      <w:pPr>
        <w:spacing w:after="0" w:line="240" w:lineRule="auto"/>
      </w:pPr>
    </w:p>
    <w:p w14:paraId="462DAE39" w14:textId="53B9A38A" w:rsidR="00922464" w:rsidRPr="00922464" w:rsidRDefault="00922464" w:rsidP="00922464">
      <w:pPr>
        <w:spacing w:after="0" w:line="240" w:lineRule="auto"/>
      </w:pPr>
      <w:r w:rsidRPr="00922464">
        <w:t xml:space="preserve">• </w:t>
      </w:r>
      <w:r w:rsidRPr="00922464">
        <w:rPr>
          <w:b/>
          <w:bCs/>
        </w:rPr>
        <w:t>Discriminar</w:t>
      </w:r>
      <w:r w:rsidRPr="00922464">
        <w:t xml:space="preserve"> los determinantes de la respuesta dinámica de los sistemas de columna de líquido, específicamente la frecuencia natural () y el coeficiente de amortiguamiento (), para garantizar que el sistema sea capaz de reproducir fielmente las frecuencias armónicas de la onda de pulso sin distorsión.</w:t>
      </w:r>
    </w:p>
    <w:p w14:paraId="66A34C68" w14:textId="77777777" w:rsidR="00922464" w:rsidRDefault="00922464" w:rsidP="00922464">
      <w:pPr>
        <w:spacing w:after="0" w:line="240" w:lineRule="auto"/>
      </w:pPr>
    </w:p>
    <w:p w14:paraId="618194DA" w14:textId="56FDEE14" w:rsidR="00922464" w:rsidRPr="00922464" w:rsidRDefault="00922464" w:rsidP="00922464">
      <w:pPr>
        <w:spacing w:after="0" w:line="240" w:lineRule="auto"/>
      </w:pPr>
      <w:r w:rsidRPr="00922464">
        <w:t xml:space="preserve">• </w:t>
      </w:r>
      <w:r w:rsidRPr="00922464">
        <w:rPr>
          <w:b/>
          <w:bCs/>
        </w:rPr>
        <w:t>Validar</w:t>
      </w:r>
      <w:r w:rsidRPr="00922464">
        <w:t xml:space="preserve"> la fidelidad de la señal monitoreada mediante la ejecución e interpretación de la prueba de la onda cuadrada (</w:t>
      </w:r>
      <w:proofErr w:type="spellStart"/>
      <w:r w:rsidRPr="00922464">
        <w:rPr>
          <w:i/>
          <w:iCs/>
        </w:rPr>
        <w:t>fast-flush</w:t>
      </w:r>
      <w:proofErr w:type="spellEnd"/>
      <w:r w:rsidRPr="00922464">
        <w:rPr>
          <w:i/>
          <w:iCs/>
        </w:rPr>
        <w:t xml:space="preserve"> test</w:t>
      </w:r>
      <w:r w:rsidRPr="00922464">
        <w:t xml:space="preserve"> o </w:t>
      </w:r>
      <w:r w:rsidRPr="00922464">
        <w:rPr>
          <w:i/>
          <w:iCs/>
        </w:rPr>
        <w:t>pop-test</w:t>
      </w:r>
      <w:r w:rsidRPr="00922464">
        <w:t xml:space="preserve">), categorizando los hallazgos en sistemas óptimamente amortiguados, </w:t>
      </w:r>
      <w:proofErr w:type="spellStart"/>
      <w:r w:rsidRPr="00922464">
        <w:t>sobreamortiguados</w:t>
      </w:r>
      <w:proofErr w:type="spellEnd"/>
      <w:r w:rsidRPr="00922464">
        <w:t xml:space="preserve"> (pérdida de muesca </w:t>
      </w:r>
      <w:proofErr w:type="spellStart"/>
      <w:r w:rsidRPr="00922464">
        <w:t>dicróta</w:t>
      </w:r>
      <w:proofErr w:type="spellEnd"/>
      <w:r w:rsidRPr="00922464">
        <w:t xml:space="preserve"> y subestimación de sístole) o </w:t>
      </w:r>
      <w:proofErr w:type="spellStart"/>
      <w:r w:rsidRPr="00922464">
        <w:t>subamortiguados</w:t>
      </w:r>
      <w:proofErr w:type="spellEnd"/>
      <w:r w:rsidRPr="00922464">
        <w:t xml:space="preserve"> (presencia de </w:t>
      </w:r>
      <w:proofErr w:type="spellStart"/>
      <w:r w:rsidRPr="00922464">
        <w:rPr>
          <w:i/>
          <w:iCs/>
        </w:rPr>
        <w:t>ringing</w:t>
      </w:r>
      <w:proofErr w:type="spellEnd"/>
      <w:r w:rsidRPr="00922464">
        <w:t xml:space="preserve"> y sobreestimación de sístole).</w:t>
      </w:r>
    </w:p>
    <w:p w14:paraId="07B2B403" w14:textId="77777777" w:rsidR="00922464" w:rsidRDefault="00922464" w:rsidP="00922464">
      <w:pPr>
        <w:spacing w:after="0" w:line="240" w:lineRule="auto"/>
      </w:pPr>
    </w:p>
    <w:p w14:paraId="4338485C" w14:textId="21B71523" w:rsidR="00922464" w:rsidRPr="00922464" w:rsidRDefault="00922464" w:rsidP="00922464">
      <w:pPr>
        <w:spacing w:after="0" w:line="240" w:lineRule="auto"/>
      </w:pPr>
      <w:r w:rsidRPr="00922464">
        <w:t xml:space="preserve">• </w:t>
      </w:r>
      <w:r w:rsidRPr="00922464">
        <w:rPr>
          <w:b/>
          <w:bCs/>
        </w:rPr>
        <w:t>Sintetizar</w:t>
      </w:r>
      <w:r w:rsidRPr="00922464">
        <w:t xml:space="preserve"> los factores técnicos que degradan la calidad del trazado, tales como burbujas de aire (que aumentan la </w:t>
      </w:r>
      <w:proofErr w:type="spellStart"/>
      <w:r w:rsidRPr="00922464">
        <w:t>compliance</w:t>
      </w:r>
      <w:proofErr w:type="spellEnd"/>
      <w:r w:rsidRPr="00922464">
        <w:t xml:space="preserve"> del sistema), longitud excesiva de la tubuladura o coágulos en la punta del catéter, implementando medidas correctivas inmediatas.</w:t>
      </w:r>
    </w:p>
    <w:p w14:paraId="2ABD7775" w14:textId="77777777" w:rsidR="00922464" w:rsidRDefault="00922464" w:rsidP="00922464">
      <w:pPr>
        <w:spacing w:after="0" w:line="240" w:lineRule="auto"/>
      </w:pPr>
    </w:p>
    <w:p w14:paraId="613CD11B" w14:textId="6DB097D3" w:rsidR="00922464" w:rsidRPr="00922464" w:rsidRDefault="00922464" w:rsidP="00922464">
      <w:pPr>
        <w:spacing w:after="0" w:line="240" w:lineRule="auto"/>
      </w:pPr>
      <w:r w:rsidRPr="00922464">
        <w:t xml:space="preserve">• </w:t>
      </w:r>
      <w:r w:rsidRPr="00922464">
        <w:rPr>
          <w:b/>
          <w:bCs/>
        </w:rPr>
        <w:t>Interpretar</w:t>
      </w:r>
      <w:r w:rsidRPr="00922464">
        <w:t xml:space="preserve"> la morfología de la curva de presión arterial —incluyendo la pendiente de ascenso sistólico, el pico inotrópico y la posición de la muesca </w:t>
      </w:r>
      <w:proofErr w:type="spellStart"/>
      <w:r w:rsidRPr="00922464">
        <w:t>dicróta</w:t>
      </w:r>
      <w:proofErr w:type="spellEnd"/>
      <w:r w:rsidRPr="00922464">
        <w:t>— para identificar estados fisiopatológicos como estenosis aórtica, falla ventricular o variabilidad excesiva por interacción corazón-pulmón.</w:t>
      </w:r>
    </w:p>
    <w:p w14:paraId="302A8C32" w14:textId="77777777" w:rsidR="00922464" w:rsidRDefault="00922464" w:rsidP="00922464">
      <w:pPr>
        <w:spacing w:after="0" w:line="240" w:lineRule="auto"/>
        <w:rPr>
          <w:b/>
          <w:bCs/>
        </w:rPr>
      </w:pPr>
    </w:p>
    <w:p w14:paraId="752ED0EC" w14:textId="419C9C72" w:rsidR="00922464" w:rsidRPr="00922464" w:rsidRDefault="00922464" w:rsidP="00922464">
      <w:pPr>
        <w:spacing w:after="0" w:line="240" w:lineRule="auto"/>
      </w:pPr>
      <w:proofErr w:type="gramStart"/>
      <w:r w:rsidRPr="00922464">
        <w:rPr>
          <w:b/>
          <w:bCs/>
        </w:rPr>
        <w:t>Competencias Clínicas a Desarrollar</w:t>
      </w:r>
      <w:proofErr w:type="gramEnd"/>
    </w:p>
    <w:p w14:paraId="2011DEF4" w14:textId="77777777" w:rsidR="00922464" w:rsidRPr="00922464" w:rsidRDefault="00922464" w:rsidP="00922464">
      <w:pPr>
        <w:spacing w:after="0" w:line="240" w:lineRule="auto"/>
      </w:pPr>
      <w:r w:rsidRPr="00922464">
        <w:t xml:space="preserve">El médico residente avanzado debe trascender la lectura numérica de la presión arterial para realizar una auditoría técnica constante de la señal biofísica. Al finalizar la sesión, el especialista será competente para configurar sistemas de monitorización invasiva con máxima fidelidad, detectar artefactos de resonancia o amortiguamiento antes de realizar intervenciones terapéuticas y utilizar el modelo de </w:t>
      </w:r>
      <w:proofErr w:type="spellStart"/>
      <w:r w:rsidRPr="00922464">
        <w:t>Windkessel</w:t>
      </w:r>
      <w:proofErr w:type="spellEnd"/>
      <w:r w:rsidRPr="00922464">
        <w:t xml:space="preserve"> para comprender cómo los cambios en la rigidez arterial (comunes en el envejecimiento y la sepsis) afectan la carga impuesta al ventrículo izquierdo. Esta competencia es fundamental para evitar errores en la titulación de vasopresores basados en señales técnicamente deficientes o distorsionadas por la física del sistema de medición</w:t>
      </w:r>
    </w:p>
    <w:p w14:paraId="61DECFB7" w14:textId="77777777" w:rsidR="001516C8" w:rsidRDefault="001516C8"/>
    <w:sectPr w:rsidR="00151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64"/>
    <w:rsid w:val="001516C8"/>
    <w:rsid w:val="002F5790"/>
    <w:rsid w:val="005E5E81"/>
    <w:rsid w:val="005F6B1D"/>
    <w:rsid w:val="00922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6490"/>
  <w15:chartTrackingRefBased/>
  <w15:docId w15:val="{D002CEC7-C659-4FFB-A63D-924506DE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922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2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24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24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24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24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24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24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24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2464"/>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922464"/>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922464"/>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922464"/>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922464"/>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922464"/>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922464"/>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922464"/>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922464"/>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922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2464"/>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9224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2464"/>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922464"/>
    <w:pPr>
      <w:spacing w:before="160"/>
      <w:jc w:val="center"/>
    </w:pPr>
    <w:rPr>
      <w:i/>
      <w:iCs/>
      <w:color w:val="404040" w:themeColor="text1" w:themeTint="BF"/>
    </w:rPr>
  </w:style>
  <w:style w:type="character" w:customStyle="1" w:styleId="CitaCar">
    <w:name w:val="Cita Car"/>
    <w:basedOn w:val="Fuentedeprrafopredeter"/>
    <w:link w:val="Cita"/>
    <w:uiPriority w:val="29"/>
    <w:rsid w:val="00922464"/>
    <w:rPr>
      <w:i/>
      <w:iCs/>
      <w:color w:val="404040" w:themeColor="text1" w:themeTint="BF"/>
      <w:lang w:val="es-419"/>
    </w:rPr>
  </w:style>
  <w:style w:type="paragraph" w:styleId="Prrafodelista">
    <w:name w:val="List Paragraph"/>
    <w:basedOn w:val="Normal"/>
    <w:uiPriority w:val="34"/>
    <w:qFormat/>
    <w:rsid w:val="00922464"/>
    <w:pPr>
      <w:ind w:left="720"/>
      <w:contextualSpacing/>
    </w:pPr>
  </w:style>
  <w:style w:type="character" w:styleId="nfasisintenso">
    <w:name w:val="Intense Emphasis"/>
    <w:basedOn w:val="Fuentedeprrafopredeter"/>
    <w:uiPriority w:val="21"/>
    <w:qFormat/>
    <w:rsid w:val="00922464"/>
    <w:rPr>
      <w:i/>
      <w:iCs/>
      <w:color w:val="0F4761" w:themeColor="accent1" w:themeShade="BF"/>
    </w:rPr>
  </w:style>
  <w:style w:type="paragraph" w:styleId="Citadestacada">
    <w:name w:val="Intense Quote"/>
    <w:basedOn w:val="Normal"/>
    <w:next w:val="Normal"/>
    <w:link w:val="CitadestacadaCar"/>
    <w:uiPriority w:val="30"/>
    <w:qFormat/>
    <w:rsid w:val="00922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2464"/>
    <w:rPr>
      <w:i/>
      <w:iCs/>
      <w:color w:val="0F4761" w:themeColor="accent1" w:themeShade="BF"/>
      <w:lang w:val="es-419"/>
    </w:rPr>
  </w:style>
  <w:style w:type="character" w:styleId="Referenciaintensa">
    <w:name w:val="Intense Reference"/>
    <w:basedOn w:val="Fuentedeprrafopredeter"/>
    <w:uiPriority w:val="32"/>
    <w:qFormat/>
    <w:rsid w:val="00922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452</Words>
  <Characters>2581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Vanegas</dc:creator>
  <cp:keywords/>
  <dc:description/>
  <cp:lastModifiedBy>Dennis Vanegas</cp:lastModifiedBy>
  <cp:revision>1</cp:revision>
  <dcterms:created xsi:type="dcterms:W3CDTF">2026-01-03T19:59:00Z</dcterms:created>
  <dcterms:modified xsi:type="dcterms:W3CDTF">2026-01-03T20:22:00Z</dcterms:modified>
</cp:coreProperties>
</file>