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DB05A" w14:textId="0EC3F8E9" w:rsidR="006861BD" w:rsidRDefault="006861BD" w:rsidP="006861BD">
      <w:pPr>
        <w:rPr>
          <w:b/>
          <w:bCs/>
        </w:rPr>
      </w:pPr>
      <w:proofErr w:type="spellStart"/>
      <w:r>
        <w:rPr>
          <w:b/>
          <w:bCs/>
        </w:rPr>
        <w:t>Guia</w:t>
      </w:r>
      <w:proofErr w:type="spellEnd"/>
      <w:r>
        <w:rPr>
          <w:b/>
          <w:bCs/>
        </w:rPr>
        <w:t xml:space="preserve"> # 3</w:t>
      </w:r>
    </w:p>
    <w:p w14:paraId="65D81FE8" w14:textId="3ABFA946" w:rsidR="006861BD" w:rsidRPr="006861BD" w:rsidRDefault="006861BD" w:rsidP="006861BD">
      <w:pPr>
        <w:rPr>
          <w:b/>
          <w:bCs/>
        </w:rPr>
      </w:pPr>
      <w:r w:rsidRPr="006861BD">
        <w:rPr>
          <w:b/>
          <w:bCs/>
        </w:rPr>
        <w:t>Título de la Sesión: Fisiología Dinámica del Retorno Venoso y Gestión de la Vía Venosa Central</w:t>
      </w:r>
    </w:p>
    <w:p w14:paraId="2F4CFC78" w14:textId="77777777" w:rsidR="006861BD" w:rsidRPr="006861BD" w:rsidRDefault="006861BD" w:rsidP="006861BD">
      <w:pPr>
        <w:rPr>
          <w:lang w:val="en-US"/>
        </w:rPr>
      </w:pPr>
      <w:proofErr w:type="spellStart"/>
      <w:r w:rsidRPr="006861BD">
        <w:rPr>
          <w:b/>
          <w:bCs/>
          <w:lang w:val="en-US"/>
        </w:rPr>
        <w:t>Objetivos</w:t>
      </w:r>
      <w:proofErr w:type="spellEnd"/>
      <w:r w:rsidRPr="006861BD">
        <w:rPr>
          <w:b/>
          <w:bCs/>
          <w:lang w:val="en-US"/>
        </w:rPr>
        <w:t xml:space="preserve"> de </w:t>
      </w:r>
      <w:proofErr w:type="spellStart"/>
      <w:r w:rsidRPr="006861BD">
        <w:rPr>
          <w:b/>
          <w:bCs/>
          <w:lang w:val="en-US"/>
        </w:rPr>
        <w:t>Aprendizaje</w:t>
      </w:r>
      <w:proofErr w:type="spellEnd"/>
    </w:p>
    <w:p w14:paraId="377E64BB" w14:textId="77777777" w:rsidR="006861BD" w:rsidRPr="006861BD" w:rsidRDefault="006861BD" w:rsidP="006861BD">
      <w:pPr>
        <w:numPr>
          <w:ilvl w:val="0"/>
          <w:numId w:val="1"/>
        </w:numPr>
        <w:jc w:val="both"/>
      </w:pPr>
      <w:r w:rsidRPr="006861BD">
        <w:rPr>
          <w:b/>
          <w:bCs/>
        </w:rPr>
        <w:t>Analizar</w:t>
      </w:r>
      <w:r w:rsidRPr="006861BD">
        <w:t xml:space="preserve"> el modelo biomecánico de Guyton, fundamentando la interdependencia entre la presión media de llenado sistémico (MSFP), la presión de la aurícula derecha (</w:t>
      </w:r>
      <w:proofErr w:type="spellStart"/>
      <w:r w:rsidRPr="006861BD">
        <w:t>Pra</w:t>
      </w:r>
      <w:proofErr w:type="spellEnd"/>
      <w:r w:rsidRPr="006861BD">
        <w:t>) y la resistencia al retorno venoso (RVR) como determinantes primarios del flujo de entrada al ventrículo derecho.</w:t>
      </w:r>
    </w:p>
    <w:p w14:paraId="06EB2B4F" w14:textId="77777777" w:rsidR="006861BD" w:rsidRPr="006861BD" w:rsidRDefault="006861BD" w:rsidP="006861BD">
      <w:pPr>
        <w:numPr>
          <w:ilvl w:val="0"/>
          <w:numId w:val="1"/>
        </w:numPr>
        <w:jc w:val="both"/>
      </w:pPr>
      <w:r w:rsidRPr="006861BD">
        <w:rPr>
          <w:b/>
          <w:bCs/>
        </w:rPr>
        <w:t>Discriminar</w:t>
      </w:r>
      <w:r w:rsidRPr="006861BD">
        <w:t xml:space="preserve"> entre los compartimentos de volumen estresado y no estresado, evaluando el rol de la capacitancia venosa y el reclutamiento de volumen mediado por el tono simpático alfa-adrenérgico en la optimización del retorno venoso y el gasto cardíaco.</w:t>
      </w:r>
    </w:p>
    <w:p w14:paraId="06E93338" w14:textId="77777777" w:rsidR="006861BD" w:rsidRPr="006861BD" w:rsidRDefault="006861BD" w:rsidP="006861BD">
      <w:pPr>
        <w:numPr>
          <w:ilvl w:val="0"/>
          <w:numId w:val="1"/>
        </w:numPr>
        <w:jc w:val="both"/>
      </w:pPr>
      <w:r w:rsidRPr="006861BD">
        <w:rPr>
          <w:b/>
          <w:bCs/>
        </w:rPr>
        <w:t>Correlacionar</w:t>
      </w:r>
      <w:r w:rsidRPr="006861BD">
        <w:t xml:space="preserve"> la función cardíaca (curva de </w:t>
      </w:r>
      <w:proofErr w:type="spellStart"/>
      <w:r w:rsidRPr="006861BD">
        <w:t>Starling</w:t>
      </w:r>
      <w:proofErr w:type="spellEnd"/>
      <w:r w:rsidRPr="006861BD">
        <w:t>) con la función de retorno venoso (curva de Guyton), identificando el punto de equilibrio hemodinámico y analizando cómo los cambios en la contractilidad o el volumen sistémico desplazan dicho equilibrio.</w:t>
      </w:r>
    </w:p>
    <w:p w14:paraId="3B5EA3B1" w14:textId="77777777" w:rsidR="006861BD" w:rsidRPr="006861BD" w:rsidRDefault="006861BD" w:rsidP="006861BD">
      <w:pPr>
        <w:numPr>
          <w:ilvl w:val="0"/>
          <w:numId w:val="1"/>
        </w:numPr>
        <w:jc w:val="both"/>
      </w:pPr>
      <w:r w:rsidRPr="006861BD">
        <w:rPr>
          <w:b/>
          <w:bCs/>
        </w:rPr>
        <w:t>Evaluar</w:t>
      </w:r>
      <w:r w:rsidRPr="006861BD">
        <w:t xml:space="preserve"> el fenómeno de limitación de flujo o "cascada vascular" (</w:t>
      </w:r>
      <w:proofErr w:type="spellStart"/>
      <w:r w:rsidRPr="006861BD">
        <w:rPr>
          <w:i/>
          <w:iCs/>
        </w:rPr>
        <w:t>Starling</w:t>
      </w:r>
      <w:proofErr w:type="spellEnd"/>
      <w:r w:rsidRPr="006861BD">
        <w:rPr>
          <w:i/>
          <w:iCs/>
        </w:rPr>
        <w:t xml:space="preserve"> resistor</w:t>
      </w:r>
      <w:r w:rsidRPr="006861BD">
        <w:t xml:space="preserve">), fundamentando por qué los descensos de la </w:t>
      </w:r>
      <w:proofErr w:type="spellStart"/>
      <w:r w:rsidRPr="006861BD">
        <w:t>Pra</w:t>
      </w:r>
      <w:proofErr w:type="spellEnd"/>
      <w:r w:rsidRPr="006861BD">
        <w:t xml:space="preserve"> por debajo de la presión intratorácica o atmosférica no incrementan el retorno venoso debido al colapso físico de las grandes venas.</w:t>
      </w:r>
    </w:p>
    <w:p w14:paraId="38BA878E" w14:textId="77777777" w:rsidR="006861BD" w:rsidRPr="006861BD" w:rsidRDefault="006861BD" w:rsidP="006861BD">
      <w:pPr>
        <w:numPr>
          <w:ilvl w:val="0"/>
          <w:numId w:val="1"/>
        </w:numPr>
        <w:jc w:val="both"/>
      </w:pPr>
      <w:r w:rsidRPr="006861BD">
        <w:rPr>
          <w:b/>
          <w:bCs/>
        </w:rPr>
        <w:t>Sintetizar</w:t>
      </w:r>
      <w:r w:rsidRPr="006861BD">
        <w:t xml:space="preserve"> las indicaciones clínicas para la cateterización venosa central, priorizando la monitorización hemodinámica avanzada, la administración de fármacos vasoactivos o cáusticos y el acceso para terapias de reemplazo renal o nutrición parenteral.</w:t>
      </w:r>
    </w:p>
    <w:p w14:paraId="66EF2CA6" w14:textId="77777777" w:rsidR="006861BD" w:rsidRPr="006861BD" w:rsidRDefault="006861BD" w:rsidP="006861BD">
      <w:pPr>
        <w:numPr>
          <w:ilvl w:val="0"/>
          <w:numId w:val="1"/>
        </w:numPr>
        <w:jc w:val="both"/>
      </w:pPr>
      <w:r w:rsidRPr="006861BD">
        <w:rPr>
          <w:b/>
          <w:bCs/>
        </w:rPr>
        <w:t>Validar</w:t>
      </w:r>
      <w:r w:rsidRPr="006861BD">
        <w:t xml:space="preserve"> la ejecución técnica de la cateterización venosa central mediante el método de </w:t>
      </w:r>
      <w:proofErr w:type="spellStart"/>
      <w:r w:rsidRPr="006861BD">
        <w:t>Seldinger</w:t>
      </w:r>
      <w:proofErr w:type="spellEnd"/>
      <w:r w:rsidRPr="006861BD">
        <w:t>, seleccionando el sitio anatómico óptimo (yugular interna, subclavia o femoral) basándose en el análisis de riesgos anatómicos, riesgo de infección y factibilidad de compresibilidad mecánica.</w:t>
      </w:r>
    </w:p>
    <w:p w14:paraId="0090C2E3" w14:textId="77777777" w:rsidR="006861BD" w:rsidRPr="006861BD" w:rsidRDefault="006861BD" w:rsidP="006861BD">
      <w:pPr>
        <w:numPr>
          <w:ilvl w:val="0"/>
          <w:numId w:val="1"/>
        </w:numPr>
        <w:jc w:val="both"/>
      </w:pPr>
      <w:r w:rsidRPr="006861BD">
        <w:rPr>
          <w:b/>
          <w:bCs/>
        </w:rPr>
        <w:t>Gestionar</w:t>
      </w:r>
      <w:r w:rsidRPr="006861BD">
        <w:t xml:space="preserve"> las complicaciones agudas derivadas de la inserción de catéteres centrales, incluyendo el diagnóstico y tratamiento inmediato de neumotórax, embolia gaseosa venosa, arritmias por irritación miocárdica y perforación vascular.</w:t>
      </w:r>
    </w:p>
    <w:p w14:paraId="4C912521" w14:textId="77777777" w:rsidR="006861BD" w:rsidRPr="006861BD" w:rsidRDefault="006861BD" w:rsidP="006861BD">
      <w:proofErr w:type="gramStart"/>
      <w:r w:rsidRPr="006861BD">
        <w:rPr>
          <w:b/>
          <w:bCs/>
        </w:rPr>
        <w:t>Competencias Clínicas a Desarrollar</w:t>
      </w:r>
      <w:proofErr w:type="gramEnd"/>
    </w:p>
    <w:p w14:paraId="774A3256" w14:textId="77777777" w:rsidR="006861BD" w:rsidRPr="006861BD" w:rsidRDefault="006861BD" w:rsidP="006861BD">
      <w:r w:rsidRPr="006861BD">
        <w:t xml:space="preserve">El médico residente de Medicina Crítica debe integrar la comprensión del retorno venoso como el verdadero motor del gasto cardíaco en estado estacionario, superando la visión simplista del corazón como una bomba aislada. Desarrollará la destreza técnica para establecer accesos venosos centrales bajo estrictos estándares de asepsia y seguridad quirúrgica, aplicando maniobras como la posición de Trendelenburg o la maniobra de Valsalva para mitigar riesgos críticos como la embolia gaseosa. Al finalizar la sesión, el especialista será capaz de utilizar la </w:t>
      </w:r>
      <w:proofErr w:type="spellStart"/>
      <w:r w:rsidRPr="006861BD">
        <w:t>Pra</w:t>
      </w:r>
      <w:proofErr w:type="spellEnd"/>
      <w:r w:rsidRPr="006861BD">
        <w:t xml:space="preserve"> no solo como un marcador de precarga, sino como la presión de salida que modula el gradiente motriz del retorno venoso, permitiendo una titulación de fluidos y vasopresores basada en la fisiología de la MSFP y la capacitancia vascular.</w:t>
      </w:r>
    </w:p>
    <w:p w14:paraId="56038583" w14:textId="77777777" w:rsidR="001516C8" w:rsidRDefault="001516C8"/>
    <w:sectPr w:rsidR="001516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013B20"/>
    <w:multiLevelType w:val="multilevel"/>
    <w:tmpl w:val="18A2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252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1BD"/>
    <w:rsid w:val="001516C8"/>
    <w:rsid w:val="002F5790"/>
    <w:rsid w:val="005F6B1D"/>
    <w:rsid w:val="00686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CBE02"/>
  <w15:chartTrackingRefBased/>
  <w15:docId w15:val="{13883E27-88CF-4D3D-BB82-77CACB5BE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Ttulo1">
    <w:name w:val="heading 1"/>
    <w:basedOn w:val="Normal"/>
    <w:next w:val="Normal"/>
    <w:link w:val="Ttulo1Car"/>
    <w:uiPriority w:val="9"/>
    <w:qFormat/>
    <w:rsid w:val="00686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86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861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861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861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861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61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61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61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61BD"/>
    <w:rPr>
      <w:rFonts w:asciiTheme="majorHAnsi" w:eastAsiaTheme="majorEastAsia" w:hAnsiTheme="majorHAnsi" w:cstheme="majorBidi"/>
      <w:color w:val="0F4761" w:themeColor="accent1" w:themeShade="BF"/>
      <w:sz w:val="40"/>
      <w:szCs w:val="40"/>
      <w:lang w:val="es-419"/>
    </w:rPr>
  </w:style>
  <w:style w:type="character" w:customStyle="1" w:styleId="Ttulo2Car">
    <w:name w:val="Título 2 Car"/>
    <w:basedOn w:val="Fuentedeprrafopredeter"/>
    <w:link w:val="Ttulo2"/>
    <w:uiPriority w:val="9"/>
    <w:semiHidden/>
    <w:rsid w:val="006861BD"/>
    <w:rPr>
      <w:rFonts w:asciiTheme="majorHAnsi" w:eastAsiaTheme="majorEastAsia" w:hAnsiTheme="majorHAnsi" w:cstheme="majorBidi"/>
      <w:color w:val="0F4761" w:themeColor="accent1" w:themeShade="BF"/>
      <w:sz w:val="32"/>
      <w:szCs w:val="32"/>
      <w:lang w:val="es-419"/>
    </w:rPr>
  </w:style>
  <w:style w:type="character" w:customStyle="1" w:styleId="Ttulo3Car">
    <w:name w:val="Título 3 Car"/>
    <w:basedOn w:val="Fuentedeprrafopredeter"/>
    <w:link w:val="Ttulo3"/>
    <w:uiPriority w:val="9"/>
    <w:semiHidden/>
    <w:rsid w:val="006861BD"/>
    <w:rPr>
      <w:rFonts w:eastAsiaTheme="majorEastAsia" w:cstheme="majorBidi"/>
      <w:color w:val="0F4761" w:themeColor="accent1" w:themeShade="BF"/>
      <w:sz w:val="28"/>
      <w:szCs w:val="28"/>
      <w:lang w:val="es-419"/>
    </w:rPr>
  </w:style>
  <w:style w:type="character" w:customStyle="1" w:styleId="Ttulo4Car">
    <w:name w:val="Título 4 Car"/>
    <w:basedOn w:val="Fuentedeprrafopredeter"/>
    <w:link w:val="Ttulo4"/>
    <w:uiPriority w:val="9"/>
    <w:semiHidden/>
    <w:rsid w:val="006861BD"/>
    <w:rPr>
      <w:rFonts w:eastAsiaTheme="majorEastAsia" w:cstheme="majorBidi"/>
      <w:i/>
      <w:iCs/>
      <w:color w:val="0F4761" w:themeColor="accent1" w:themeShade="BF"/>
      <w:lang w:val="es-419"/>
    </w:rPr>
  </w:style>
  <w:style w:type="character" w:customStyle="1" w:styleId="Ttulo5Car">
    <w:name w:val="Título 5 Car"/>
    <w:basedOn w:val="Fuentedeprrafopredeter"/>
    <w:link w:val="Ttulo5"/>
    <w:uiPriority w:val="9"/>
    <w:semiHidden/>
    <w:rsid w:val="006861BD"/>
    <w:rPr>
      <w:rFonts w:eastAsiaTheme="majorEastAsia" w:cstheme="majorBidi"/>
      <w:color w:val="0F4761" w:themeColor="accent1" w:themeShade="BF"/>
      <w:lang w:val="es-419"/>
    </w:rPr>
  </w:style>
  <w:style w:type="character" w:customStyle="1" w:styleId="Ttulo6Car">
    <w:name w:val="Título 6 Car"/>
    <w:basedOn w:val="Fuentedeprrafopredeter"/>
    <w:link w:val="Ttulo6"/>
    <w:uiPriority w:val="9"/>
    <w:semiHidden/>
    <w:rsid w:val="006861BD"/>
    <w:rPr>
      <w:rFonts w:eastAsiaTheme="majorEastAsia" w:cstheme="majorBidi"/>
      <w:i/>
      <w:iCs/>
      <w:color w:val="595959" w:themeColor="text1" w:themeTint="A6"/>
      <w:lang w:val="es-419"/>
    </w:rPr>
  </w:style>
  <w:style w:type="character" w:customStyle="1" w:styleId="Ttulo7Car">
    <w:name w:val="Título 7 Car"/>
    <w:basedOn w:val="Fuentedeprrafopredeter"/>
    <w:link w:val="Ttulo7"/>
    <w:uiPriority w:val="9"/>
    <w:semiHidden/>
    <w:rsid w:val="006861BD"/>
    <w:rPr>
      <w:rFonts w:eastAsiaTheme="majorEastAsia" w:cstheme="majorBidi"/>
      <w:color w:val="595959" w:themeColor="text1" w:themeTint="A6"/>
      <w:lang w:val="es-419"/>
    </w:rPr>
  </w:style>
  <w:style w:type="character" w:customStyle="1" w:styleId="Ttulo8Car">
    <w:name w:val="Título 8 Car"/>
    <w:basedOn w:val="Fuentedeprrafopredeter"/>
    <w:link w:val="Ttulo8"/>
    <w:uiPriority w:val="9"/>
    <w:semiHidden/>
    <w:rsid w:val="006861BD"/>
    <w:rPr>
      <w:rFonts w:eastAsiaTheme="majorEastAsia" w:cstheme="majorBidi"/>
      <w:i/>
      <w:iCs/>
      <w:color w:val="272727" w:themeColor="text1" w:themeTint="D8"/>
      <w:lang w:val="es-419"/>
    </w:rPr>
  </w:style>
  <w:style w:type="character" w:customStyle="1" w:styleId="Ttulo9Car">
    <w:name w:val="Título 9 Car"/>
    <w:basedOn w:val="Fuentedeprrafopredeter"/>
    <w:link w:val="Ttulo9"/>
    <w:uiPriority w:val="9"/>
    <w:semiHidden/>
    <w:rsid w:val="006861BD"/>
    <w:rPr>
      <w:rFonts w:eastAsiaTheme="majorEastAsia" w:cstheme="majorBidi"/>
      <w:color w:val="272727" w:themeColor="text1" w:themeTint="D8"/>
      <w:lang w:val="es-419"/>
    </w:rPr>
  </w:style>
  <w:style w:type="paragraph" w:styleId="Ttulo">
    <w:name w:val="Title"/>
    <w:basedOn w:val="Normal"/>
    <w:next w:val="Normal"/>
    <w:link w:val="TtuloCar"/>
    <w:uiPriority w:val="10"/>
    <w:qFormat/>
    <w:rsid w:val="00686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861BD"/>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link w:val="SubttuloCar"/>
    <w:uiPriority w:val="11"/>
    <w:qFormat/>
    <w:rsid w:val="006861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861BD"/>
    <w:rPr>
      <w:rFonts w:eastAsiaTheme="majorEastAsia" w:cstheme="majorBidi"/>
      <w:color w:val="595959" w:themeColor="text1" w:themeTint="A6"/>
      <w:spacing w:val="15"/>
      <w:sz w:val="28"/>
      <w:szCs w:val="28"/>
      <w:lang w:val="es-419"/>
    </w:rPr>
  </w:style>
  <w:style w:type="paragraph" w:styleId="Cita">
    <w:name w:val="Quote"/>
    <w:basedOn w:val="Normal"/>
    <w:next w:val="Normal"/>
    <w:link w:val="CitaCar"/>
    <w:uiPriority w:val="29"/>
    <w:qFormat/>
    <w:rsid w:val="006861BD"/>
    <w:pPr>
      <w:spacing w:before="160"/>
      <w:jc w:val="center"/>
    </w:pPr>
    <w:rPr>
      <w:i/>
      <w:iCs/>
      <w:color w:val="404040" w:themeColor="text1" w:themeTint="BF"/>
    </w:rPr>
  </w:style>
  <w:style w:type="character" w:customStyle="1" w:styleId="CitaCar">
    <w:name w:val="Cita Car"/>
    <w:basedOn w:val="Fuentedeprrafopredeter"/>
    <w:link w:val="Cita"/>
    <w:uiPriority w:val="29"/>
    <w:rsid w:val="006861BD"/>
    <w:rPr>
      <w:i/>
      <w:iCs/>
      <w:color w:val="404040" w:themeColor="text1" w:themeTint="BF"/>
      <w:lang w:val="es-419"/>
    </w:rPr>
  </w:style>
  <w:style w:type="paragraph" w:styleId="Prrafodelista">
    <w:name w:val="List Paragraph"/>
    <w:basedOn w:val="Normal"/>
    <w:uiPriority w:val="34"/>
    <w:qFormat/>
    <w:rsid w:val="006861BD"/>
    <w:pPr>
      <w:ind w:left="720"/>
      <w:contextualSpacing/>
    </w:pPr>
  </w:style>
  <w:style w:type="character" w:styleId="nfasisintenso">
    <w:name w:val="Intense Emphasis"/>
    <w:basedOn w:val="Fuentedeprrafopredeter"/>
    <w:uiPriority w:val="21"/>
    <w:qFormat/>
    <w:rsid w:val="006861BD"/>
    <w:rPr>
      <w:i/>
      <w:iCs/>
      <w:color w:val="0F4761" w:themeColor="accent1" w:themeShade="BF"/>
    </w:rPr>
  </w:style>
  <w:style w:type="paragraph" w:styleId="Citadestacada">
    <w:name w:val="Intense Quote"/>
    <w:basedOn w:val="Normal"/>
    <w:next w:val="Normal"/>
    <w:link w:val="CitadestacadaCar"/>
    <w:uiPriority w:val="30"/>
    <w:qFormat/>
    <w:rsid w:val="00686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861BD"/>
    <w:rPr>
      <w:i/>
      <w:iCs/>
      <w:color w:val="0F4761" w:themeColor="accent1" w:themeShade="BF"/>
      <w:lang w:val="es-419"/>
    </w:rPr>
  </w:style>
  <w:style w:type="character" w:styleId="Referenciaintensa">
    <w:name w:val="Intense Reference"/>
    <w:basedOn w:val="Fuentedeprrafopredeter"/>
    <w:uiPriority w:val="32"/>
    <w:qFormat/>
    <w:rsid w:val="006861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417</Words>
  <Characters>2380</Characters>
  <Application>Microsoft Office Word</Application>
  <DocSecurity>0</DocSecurity>
  <Lines>19</Lines>
  <Paragraphs>5</Paragraphs>
  <ScaleCrop>false</ScaleCrop>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Vanegas</dc:creator>
  <cp:keywords/>
  <dc:description/>
  <cp:lastModifiedBy>Dennis Vanegas</cp:lastModifiedBy>
  <cp:revision>1</cp:revision>
  <dcterms:created xsi:type="dcterms:W3CDTF">2026-01-03T20:23:00Z</dcterms:created>
  <dcterms:modified xsi:type="dcterms:W3CDTF">2026-01-03T20:30:00Z</dcterms:modified>
</cp:coreProperties>
</file>