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u w:val="single"/>
        </w:rPr>
      </w:pPr>
      <w:bookmarkStart w:colFirst="0" w:colLast="0" w:name="_xqtwlmxvepqy" w:id="0"/>
      <w:bookmarkEnd w:id="0"/>
      <w:r w:rsidDel="00000000" w:rsidR="00000000" w:rsidRPr="00000000">
        <w:rPr>
          <w:u w:val="single"/>
          <w:rtl w:val="0"/>
        </w:rPr>
        <w:t xml:space="preserve">ADR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Title:</w:t>
      </w:r>
    </w:p>
    <w:p w:rsidR="00000000" w:rsidDel="00000000" w:rsidP="00000000" w:rsidRDefault="00000000" w:rsidRPr="00000000" w14:paraId="00000004">
      <w:pPr>
        <w:rPr>
          <w:sz w:val="26"/>
          <w:szCs w:val="26"/>
        </w:rPr>
      </w:pPr>
      <w:r w:rsidDel="00000000" w:rsidR="00000000" w:rsidRPr="00000000">
        <w:rPr>
          <w:sz w:val="26"/>
          <w:szCs w:val="26"/>
          <w:rtl w:val="0"/>
        </w:rPr>
        <w:t xml:space="preserve">Type of inventory table with strong authorisation access and GDPR compliance regulations.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Context + Problem Statement:</w:t>
      </w:r>
    </w:p>
    <w:p w:rsidR="00000000" w:rsidDel="00000000" w:rsidP="00000000" w:rsidRDefault="00000000" w:rsidRPr="00000000" w14:paraId="00000007">
      <w:pPr>
        <w:rPr>
          <w:sz w:val="26"/>
          <w:szCs w:val="26"/>
        </w:rPr>
      </w:pPr>
      <w:r w:rsidDel="00000000" w:rsidR="00000000" w:rsidRPr="00000000">
        <w:rPr>
          <w:sz w:val="26"/>
          <w:szCs w:val="26"/>
          <w:rtl w:val="0"/>
        </w:rPr>
        <w:t xml:space="preserve">This library management system’s inventory table stores media information and branch information, which are sensitive operational data. Whenever library branch managers need to transfer media, they need to use the transfer media form. That is why there should be strong authorisation for access control, such as only branch managers being able to access the transfer media form. Data protection is also necessary because when transferring media to another branch, information should be GDPR compliant. </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Decision Driver:</w:t>
      </w:r>
    </w:p>
    <w:p w:rsidR="00000000" w:rsidDel="00000000" w:rsidP="00000000" w:rsidRDefault="00000000" w:rsidRPr="00000000" w14:paraId="00000009">
      <w:pPr>
        <w:numPr>
          <w:ilvl w:val="0"/>
          <w:numId w:val="4"/>
        </w:numPr>
        <w:ind w:left="720" w:hanging="360"/>
        <w:rPr>
          <w:sz w:val="26"/>
          <w:szCs w:val="26"/>
          <w:u w:val="none"/>
        </w:rPr>
      </w:pPr>
      <w:r w:rsidDel="00000000" w:rsidR="00000000" w:rsidRPr="00000000">
        <w:rPr>
          <w:sz w:val="26"/>
          <w:szCs w:val="26"/>
          <w:rtl w:val="0"/>
        </w:rPr>
        <w:t xml:space="preserve">Ensure that specific inventory information and media details should be prevented from unauthorised access.</w:t>
      </w:r>
    </w:p>
    <w:p w:rsidR="00000000" w:rsidDel="00000000" w:rsidP="00000000" w:rsidRDefault="00000000" w:rsidRPr="00000000" w14:paraId="0000000A">
      <w:pPr>
        <w:numPr>
          <w:ilvl w:val="0"/>
          <w:numId w:val="4"/>
        </w:numPr>
        <w:ind w:left="720" w:hanging="360"/>
        <w:rPr>
          <w:sz w:val="26"/>
          <w:szCs w:val="26"/>
          <w:u w:val="none"/>
        </w:rPr>
      </w:pPr>
      <w:r w:rsidDel="00000000" w:rsidR="00000000" w:rsidRPr="00000000">
        <w:rPr>
          <w:sz w:val="26"/>
          <w:szCs w:val="26"/>
          <w:rtl w:val="0"/>
        </w:rPr>
        <w:t xml:space="preserve">Ensure that data security and regulations are GDPR compliance.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Option:</w: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Role-based access control, token-based authorization with validation, IP whitelisting, </w: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Considered Options:</w:t>
      </w:r>
    </w:p>
    <w:p w:rsidR="00000000" w:rsidDel="00000000" w:rsidP="00000000" w:rsidRDefault="00000000" w:rsidRPr="00000000" w14:paraId="0000000F">
      <w:pPr>
        <w:numPr>
          <w:ilvl w:val="0"/>
          <w:numId w:val="2"/>
        </w:numPr>
        <w:ind w:left="720" w:hanging="360"/>
        <w:rPr>
          <w:sz w:val="26"/>
          <w:szCs w:val="26"/>
          <w:u w:val="none"/>
        </w:rPr>
      </w:pPr>
      <w:r w:rsidDel="00000000" w:rsidR="00000000" w:rsidRPr="00000000">
        <w:rPr>
          <w:sz w:val="26"/>
          <w:szCs w:val="26"/>
          <w:rtl w:val="0"/>
        </w:rPr>
        <w:t xml:space="preserve">Token-based authorization </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Whenever they log in to the system to access the transfer media form, the system sends the token to their email.</w:t>
      </w:r>
    </w:p>
    <w:p w:rsidR="00000000" w:rsidDel="00000000" w:rsidP="00000000" w:rsidRDefault="00000000" w:rsidRPr="00000000" w14:paraId="00000011">
      <w:pPr>
        <w:numPr>
          <w:ilvl w:val="0"/>
          <w:numId w:val="9"/>
        </w:numPr>
        <w:ind w:left="720" w:hanging="360"/>
        <w:rPr>
          <w:sz w:val="26"/>
          <w:szCs w:val="26"/>
          <w:u w:val="none"/>
        </w:rPr>
      </w:pPr>
      <w:r w:rsidDel="00000000" w:rsidR="00000000" w:rsidRPr="00000000">
        <w:rPr>
          <w:sz w:val="26"/>
          <w:szCs w:val="26"/>
          <w:rtl w:val="0"/>
        </w:rPr>
        <w:t xml:space="preserve">IP whitelisting </w:t>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Allow access to transfer media form only from the specific IP location link. </w:t>
      </w:r>
    </w:p>
    <w:p w:rsidR="00000000" w:rsidDel="00000000" w:rsidP="00000000" w:rsidRDefault="00000000" w:rsidRPr="00000000" w14:paraId="00000013">
      <w:pPr>
        <w:ind w:left="720" w:firstLine="0"/>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Decision Outcomes:</w:t>
      </w:r>
    </w:p>
    <w:p w:rsidR="00000000" w:rsidDel="00000000" w:rsidP="00000000" w:rsidRDefault="00000000" w:rsidRPr="00000000" w14:paraId="00000016">
      <w:pPr>
        <w:numPr>
          <w:ilvl w:val="0"/>
          <w:numId w:val="8"/>
        </w:numPr>
        <w:ind w:left="720" w:hanging="360"/>
        <w:rPr>
          <w:b w:val="1"/>
          <w:sz w:val="26"/>
          <w:szCs w:val="26"/>
        </w:rPr>
      </w:pPr>
      <w:r w:rsidDel="00000000" w:rsidR="00000000" w:rsidRPr="00000000">
        <w:rPr>
          <w:sz w:val="26"/>
          <w:szCs w:val="26"/>
          <w:rtl w:val="0"/>
        </w:rPr>
        <w:t xml:space="preserve">Role-based access control</w:t>
      </w:r>
      <w:r w:rsidDel="00000000" w:rsidR="00000000" w:rsidRPr="00000000">
        <w:rPr>
          <w:b w:val="1"/>
          <w:sz w:val="26"/>
          <w:szCs w:val="26"/>
          <w:rtl w:val="0"/>
        </w:rPr>
        <w:t xml:space="preserve"> (RBAC)</w:t>
      </w:r>
    </w:p>
    <w:p w:rsidR="00000000" w:rsidDel="00000000" w:rsidP="00000000" w:rsidRDefault="00000000" w:rsidRPr="00000000" w14:paraId="00000017">
      <w:pPr>
        <w:ind w:left="720" w:firstLine="0"/>
        <w:rPr>
          <w:b w:val="1"/>
          <w:sz w:val="26"/>
          <w:szCs w:val="26"/>
        </w:rPr>
      </w:pPr>
      <w:r w:rsidDel="00000000" w:rsidR="00000000" w:rsidRPr="00000000">
        <w:rPr>
          <w:sz w:val="26"/>
          <w:szCs w:val="26"/>
          <w:rtl w:val="0"/>
        </w:rPr>
        <w:t xml:space="preserve">Only give transfer media form authorization access to the branch manager.</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Consequences:</w:t>
      </w:r>
    </w:p>
    <w:p w:rsidR="00000000" w:rsidDel="00000000" w:rsidP="00000000" w:rsidRDefault="00000000" w:rsidRPr="00000000" w14:paraId="0000001B">
      <w:pPr>
        <w:rPr>
          <w:sz w:val="26"/>
          <w:szCs w:val="26"/>
        </w:rPr>
      </w:pPr>
      <w:r w:rsidDel="00000000" w:rsidR="00000000" w:rsidRPr="00000000">
        <w:rPr>
          <w:sz w:val="26"/>
          <w:szCs w:val="26"/>
          <w:rtl w:val="0"/>
        </w:rPr>
        <w:t xml:space="preserve">Positive consequences </w:t>
      </w:r>
    </w:p>
    <w:p w:rsidR="00000000" w:rsidDel="00000000" w:rsidP="00000000" w:rsidRDefault="00000000" w:rsidRPr="00000000" w14:paraId="0000001C">
      <w:pPr>
        <w:numPr>
          <w:ilvl w:val="0"/>
          <w:numId w:val="6"/>
        </w:numPr>
        <w:ind w:left="720" w:hanging="360"/>
        <w:rPr>
          <w:b w:val="1"/>
          <w:sz w:val="26"/>
          <w:szCs w:val="26"/>
        </w:rPr>
      </w:pPr>
      <w:r w:rsidDel="00000000" w:rsidR="00000000" w:rsidRPr="00000000">
        <w:rPr>
          <w:b w:val="1"/>
          <w:sz w:val="26"/>
          <w:szCs w:val="26"/>
          <w:rtl w:val="0"/>
        </w:rPr>
        <w:t xml:space="preserve">Improving compliance</w:t>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Limiting personal data processing and complying with GDPR.</w:t>
      </w:r>
    </w:p>
    <w:p w:rsidR="00000000" w:rsidDel="00000000" w:rsidP="00000000" w:rsidRDefault="00000000" w:rsidRPr="00000000" w14:paraId="0000001E">
      <w:pPr>
        <w:numPr>
          <w:ilvl w:val="0"/>
          <w:numId w:val="7"/>
        </w:numPr>
        <w:ind w:left="720" w:hanging="360"/>
        <w:rPr>
          <w:b w:val="1"/>
          <w:sz w:val="26"/>
          <w:szCs w:val="26"/>
        </w:rPr>
      </w:pPr>
      <w:r w:rsidDel="00000000" w:rsidR="00000000" w:rsidRPr="00000000">
        <w:rPr>
          <w:b w:val="1"/>
          <w:sz w:val="26"/>
          <w:szCs w:val="26"/>
          <w:rtl w:val="0"/>
        </w:rPr>
        <w:t xml:space="preserve">Data Security </w:t>
      </w:r>
    </w:p>
    <w:p w:rsidR="00000000" w:rsidDel="00000000" w:rsidP="00000000" w:rsidRDefault="00000000" w:rsidRPr="00000000" w14:paraId="0000001F">
      <w:pPr>
        <w:ind w:left="720" w:firstLine="0"/>
        <w:rPr>
          <w:b w:val="1"/>
          <w:sz w:val="26"/>
          <w:szCs w:val="26"/>
        </w:rPr>
      </w:pPr>
      <w:r w:rsidDel="00000000" w:rsidR="00000000" w:rsidRPr="00000000">
        <w:rPr>
          <w:sz w:val="26"/>
          <w:szCs w:val="26"/>
          <w:rtl w:val="0"/>
        </w:rPr>
        <w:t xml:space="preserve">Only specific users can access the transfer media form, which has sensitive media and branch data. </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Negative consequences </w:t>
      </w:r>
    </w:p>
    <w:p w:rsidR="00000000" w:rsidDel="00000000" w:rsidP="00000000" w:rsidRDefault="00000000" w:rsidRPr="00000000" w14:paraId="00000022">
      <w:pPr>
        <w:numPr>
          <w:ilvl w:val="0"/>
          <w:numId w:val="1"/>
        </w:numPr>
        <w:ind w:left="720" w:hanging="360"/>
        <w:rPr>
          <w:b w:val="1"/>
          <w:sz w:val="26"/>
          <w:szCs w:val="26"/>
        </w:rPr>
      </w:pPr>
      <w:r w:rsidDel="00000000" w:rsidR="00000000" w:rsidRPr="00000000">
        <w:rPr>
          <w:b w:val="1"/>
          <w:sz w:val="26"/>
          <w:szCs w:val="26"/>
          <w:rtl w:val="0"/>
        </w:rPr>
        <w:t xml:space="preserve">Implementation complexity </w:t>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Only allowing authorised users to access transfer media forms, so that is why there should be a requirement to well-define roles for access control. </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Confirmation:</w:t>
      </w:r>
    </w:p>
    <w:p w:rsidR="00000000" w:rsidDel="00000000" w:rsidP="00000000" w:rsidRDefault="00000000" w:rsidRPr="00000000" w14:paraId="00000027">
      <w:pPr>
        <w:rPr>
          <w:sz w:val="26"/>
          <w:szCs w:val="26"/>
        </w:rPr>
      </w:pPr>
      <w:r w:rsidDel="00000000" w:rsidR="00000000" w:rsidRPr="00000000">
        <w:rPr>
          <w:sz w:val="26"/>
          <w:szCs w:val="26"/>
          <w:rtl w:val="0"/>
        </w:rPr>
        <w:t xml:space="preserve">This decision is based on the user’s expectation for secure functionality and GDPR regulations.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Pros and Cons:</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Pros</w:t>
      </w:r>
    </w:p>
    <w:p w:rsidR="00000000" w:rsidDel="00000000" w:rsidP="00000000" w:rsidRDefault="00000000" w:rsidRPr="00000000" w14:paraId="0000002B">
      <w:pPr>
        <w:numPr>
          <w:ilvl w:val="0"/>
          <w:numId w:val="3"/>
        </w:numPr>
        <w:ind w:left="720" w:hanging="360"/>
        <w:rPr>
          <w:sz w:val="26"/>
          <w:szCs w:val="26"/>
          <w:u w:val="none"/>
        </w:rPr>
      </w:pPr>
      <w:r w:rsidDel="00000000" w:rsidR="00000000" w:rsidRPr="00000000">
        <w:rPr>
          <w:sz w:val="26"/>
          <w:szCs w:val="26"/>
          <w:rtl w:val="0"/>
        </w:rPr>
        <w:t xml:space="preserve">Restrict to sensitive data information.</w:t>
      </w:r>
    </w:p>
    <w:p w:rsidR="00000000" w:rsidDel="00000000" w:rsidP="00000000" w:rsidRDefault="00000000" w:rsidRPr="00000000" w14:paraId="0000002C">
      <w:pPr>
        <w:numPr>
          <w:ilvl w:val="0"/>
          <w:numId w:val="3"/>
        </w:numPr>
        <w:ind w:left="720" w:hanging="360"/>
        <w:rPr>
          <w:sz w:val="26"/>
          <w:szCs w:val="26"/>
          <w:u w:val="none"/>
        </w:rPr>
      </w:pPr>
      <w:r w:rsidDel="00000000" w:rsidR="00000000" w:rsidRPr="00000000">
        <w:rPr>
          <w:sz w:val="26"/>
          <w:szCs w:val="26"/>
          <w:rtl w:val="0"/>
        </w:rPr>
        <w:t xml:space="preserve">Access control and meet with GDPR regulations.</w:t>
      </w:r>
    </w:p>
    <w:p w:rsidR="00000000" w:rsidDel="00000000" w:rsidP="00000000" w:rsidRDefault="00000000" w:rsidRPr="00000000" w14:paraId="0000002D">
      <w:pPr>
        <w:numPr>
          <w:ilvl w:val="0"/>
          <w:numId w:val="3"/>
        </w:numPr>
        <w:ind w:left="720" w:hanging="360"/>
        <w:rPr>
          <w:sz w:val="26"/>
          <w:szCs w:val="26"/>
          <w:u w:val="none"/>
        </w:rPr>
      </w:pPr>
      <w:r w:rsidDel="00000000" w:rsidR="00000000" w:rsidRPr="00000000">
        <w:rPr>
          <w:sz w:val="26"/>
          <w:szCs w:val="26"/>
          <w:rtl w:val="0"/>
        </w:rPr>
        <w:t xml:space="preserve">Allow the authorized users to access and allow them to transfer media.</w:t>
      </w:r>
    </w:p>
    <w:p w:rsidR="00000000" w:rsidDel="00000000" w:rsidP="00000000" w:rsidRDefault="00000000" w:rsidRPr="00000000" w14:paraId="0000002E">
      <w:pPr>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02F">
      <w:pPr>
        <w:numPr>
          <w:ilvl w:val="0"/>
          <w:numId w:val="10"/>
        </w:numPr>
        <w:ind w:left="720" w:hanging="360"/>
        <w:rPr>
          <w:sz w:val="26"/>
          <w:szCs w:val="26"/>
        </w:rPr>
      </w:pPr>
      <w:r w:rsidDel="00000000" w:rsidR="00000000" w:rsidRPr="00000000">
        <w:rPr>
          <w:sz w:val="26"/>
          <w:szCs w:val="26"/>
          <w:rtl w:val="0"/>
        </w:rPr>
        <w:t xml:space="preserve">Configurations of roles and permissions are required. </w:t>
      </w:r>
    </w:p>
    <w:p w:rsidR="00000000" w:rsidDel="00000000" w:rsidP="00000000" w:rsidRDefault="00000000" w:rsidRPr="00000000" w14:paraId="00000030">
      <w:pPr>
        <w:numPr>
          <w:ilvl w:val="0"/>
          <w:numId w:val="10"/>
        </w:numPr>
        <w:ind w:left="720" w:hanging="360"/>
        <w:rPr>
          <w:sz w:val="26"/>
          <w:szCs w:val="26"/>
          <w:u w:val="none"/>
        </w:rPr>
      </w:pPr>
      <w:r w:rsidDel="00000000" w:rsidR="00000000" w:rsidRPr="00000000">
        <w:rPr>
          <w:sz w:val="26"/>
          <w:szCs w:val="26"/>
          <w:rtl w:val="0"/>
        </w:rPr>
        <w:t xml:space="preserve">Maintenance costs will be higher as initial setup is complex. </w:t>
      </w:r>
    </w:p>
    <w:p w:rsidR="00000000" w:rsidDel="00000000" w:rsidP="00000000" w:rsidRDefault="00000000" w:rsidRPr="00000000" w14:paraId="00000031">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Resources </w:t>
      </w:r>
    </w:p>
    <w:p w:rsidR="00000000" w:rsidDel="00000000" w:rsidP="00000000" w:rsidRDefault="00000000" w:rsidRPr="00000000" w14:paraId="00000034">
      <w:pPr>
        <w:numPr>
          <w:ilvl w:val="0"/>
          <w:numId w:val="5"/>
        </w:numPr>
        <w:spacing w:line="480" w:lineRule="auto"/>
        <w:ind w:left="720" w:hanging="360"/>
        <w:rPr>
          <w:b w:val="1"/>
          <w:sz w:val="18"/>
          <w:szCs w:val="18"/>
          <w:u w:val="none"/>
        </w:rPr>
      </w:pPr>
      <w:r w:rsidDel="00000000" w:rsidR="00000000" w:rsidRPr="00000000">
        <w:rPr>
          <w:b w:val="1"/>
          <w:sz w:val="18"/>
          <w:szCs w:val="18"/>
          <w:rtl w:val="0"/>
        </w:rPr>
        <w:t xml:space="preserve">Zhang, E. (2018, August 20). </w:t>
      </w:r>
      <w:r w:rsidDel="00000000" w:rsidR="00000000" w:rsidRPr="00000000">
        <w:rPr>
          <w:b w:val="1"/>
          <w:i w:val="1"/>
          <w:sz w:val="18"/>
          <w:szCs w:val="18"/>
          <w:rtl w:val="0"/>
        </w:rPr>
        <w:t xml:space="preserve">What Is Role-Based Access Control (RBAC)? Examples, Benefits, and More</w:t>
      </w:r>
      <w:r w:rsidDel="00000000" w:rsidR="00000000" w:rsidRPr="00000000">
        <w:rPr>
          <w:b w:val="1"/>
          <w:sz w:val="18"/>
          <w:szCs w:val="18"/>
          <w:rtl w:val="0"/>
        </w:rPr>
        <w:t xml:space="preserve">. Digital Guardian. </w:t>
      </w:r>
      <w:hyperlink r:id="rId6">
        <w:r w:rsidDel="00000000" w:rsidR="00000000" w:rsidRPr="00000000">
          <w:rPr>
            <w:b w:val="1"/>
            <w:color w:val="1155cc"/>
            <w:sz w:val="18"/>
            <w:szCs w:val="18"/>
            <w:u w:val="single"/>
            <w:rtl w:val="0"/>
          </w:rPr>
          <w:t xml:space="preserve">https://www.digitalguardian.com/blog/what-role-based-access-control-rbac-examples-benefits-and-more</w:t>
        </w:r>
      </w:hyperlink>
      <w:r w:rsidDel="00000000" w:rsidR="00000000" w:rsidRPr="00000000">
        <w:rPr>
          <w:rtl w:val="0"/>
        </w:rPr>
      </w:r>
    </w:p>
    <w:p w:rsidR="00000000" w:rsidDel="00000000" w:rsidP="00000000" w:rsidRDefault="00000000" w:rsidRPr="00000000" w14:paraId="00000035">
      <w:pPr>
        <w:numPr>
          <w:ilvl w:val="0"/>
          <w:numId w:val="5"/>
        </w:numPr>
        <w:spacing w:line="480" w:lineRule="auto"/>
        <w:ind w:left="720" w:hanging="360"/>
        <w:rPr>
          <w:b w:val="1"/>
          <w:sz w:val="20"/>
          <w:szCs w:val="20"/>
        </w:rPr>
      </w:pPr>
      <w:r w:rsidDel="00000000" w:rsidR="00000000" w:rsidRPr="00000000">
        <w:rPr>
          <w:b w:val="1"/>
          <w:i w:val="1"/>
          <w:sz w:val="18"/>
          <w:szCs w:val="18"/>
          <w:rtl w:val="0"/>
        </w:rPr>
        <w:t xml:space="preserve">What Is Token-Based Authentication? | Okta UK</w:t>
      </w:r>
      <w:r w:rsidDel="00000000" w:rsidR="00000000" w:rsidRPr="00000000">
        <w:rPr>
          <w:b w:val="1"/>
          <w:sz w:val="18"/>
          <w:szCs w:val="18"/>
          <w:rtl w:val="0"/>
        </w:rPr>
        <w:t xml:space="preserve">. (2024, December 9). Www.okta.com. </w:t>
      </w:r>
      <w:hyperlink r:id="rId7">
        <w:r w:rsidDel="00000000" w:rsidR="00000000" w:rsidRPr="00000000">
          <w:rPr>
            <w:b w:val="1"/>
            <w:color w:val="1155cc"/>
            <w:sz w:val="18"/>
            <w:szCs w:val="18"/>
            <w:u w:val="single"/>
            <w:rtl w:val="0"/>
          </w:rPr>
          <w:t xml:space="preserve">https://www.okta.com/uk/identity-101/what-is-token-based-authentication/</w:t>
        </w:r>
      </w:hyperlink>
      <w:r w:rsidDel="00000000" w:rsidR="00000000" w:rsidRPr="00000000">
        <w:rPr>
          <w:rtl w:val="0"/>
        </w:rPr>
      </w:r>
    </w:p>
    <w:p w:rsidR="00000000" w:rsidDel="00000000" w:rsidP="00000000" w:rsidRDefault="00000000" w:rsidRPr="00000000" w14:paraId="00000036">
      <w:pPr>
        <w:numPr>
          <w:ilvl w:val="0"/>
          <w:numId w:val="5"/>
        </w:numPr>
        <w:spacing w:line="480" w:lineRule="auto"/>
        <w:ind w:left="720" w:hanging="360"/>
        <w:rPr>
          <w:b w:val="1"/>
          <w:sz w:val="20"/>
          <w:szCs w:val="20"/>
        </w:rPr>
      </w:pPr>
      <w:r w:rsidDel="00000000" w:rsidR="00000000" w:rsidRPr="00000000">
        <w:rPr>
          <w:b w:val="1"/>
          <w:sz w:val="18"/>
          <w:szCs w:val="18"/>
          <w:rtl w:val="0"/>
        </w:rPr>
        <w:t xml:space="preserve">GDPR. (2018). </w:t>
      </w:r>
      <w:r w:rsidDel="00000000" w:rsidR="00000000" w:rsidRPr="00000000">
        <w:rPr>
          <w:b w:val="1"/>
          <w:i w:val="1"/>
          <w:sz w:val="18"/>
          <w:szCs w:val="18"/>
          <w:rtl w:val="0"/>
        </w:rPr>
        <w:t xml:space="preserve">General data protection regulation (GDPR)</w:t>
      </w:r>
      <w:r w:rsidDel="00000000" w:rsidR="00000000" w:rsidRPr="00000000">
        <w:rPr>
          <w:b w:val="1"/>
          <w:sz w:val="18"/>
          <w:szCs w:val="18"/>
          <w:rtl w:val="0"/>
        </w:rPr>
        <w:t xml:space="preserve">. General Data Protection Regulation (GDPR). </w:t>
      </w:r>
      <w:hyperlink r:id="rId8">
        <w:r w:rsidDel="00000000" w:rsidR="00000000" w:rsidRPr="00000000">
          <w:rPr>
            <w:b w:val="1"/>
            <w:color w:val="1155cc"/>
            <w:sz w:val="18"/>
            <w:szCs w:val="18"/>
            <w:u w:val="single"/>
            <w:rtl w:val="0"/>
          </w:rPr>
          <w:t xml:space="preserve">https://gdpr-info.eu/</w:t>
        </w:r>
      </w:hyperlink>
      <w:r w:rsidDel="00000000" w:rsidR="00000000" w:rsidRPr="00000000">
        <w:rPr>
          <w:rtl w:val="0"/>
        </w:rPr>
      </w:r>
    </w:p>
    <w:p w:rsidR="00000000" w:rsidDel="00000000" w:rsidP="00000000" w:rsidRDefault="00000000" w:rsidRPr="00000000" w14:paraId="00000037">
      <w:pPr>
        <w:numPr>
          <w:ilvl w:val="0"/>
          <w:numId w:val="5"/>
        </w:numPr>
        <w:spacing w:line="480" w:lineRule="auto"/>
        <w:ind w:left="720" w:hanging="360"/>
        <w:rPr>
          <w:b w:val="1"/>
          <w:sz w:val="18"/>
          <w:szCs w:val="18"/>
        </w:rPr>
      </w:pPr>
      <w:r w:rsidDel="00000000" w:rsidR="00000000" w:rsidRPr="00000000">
        <w:rPr>
          <w:b w:val="1"/>
          <w:sz w:val="18"/>
          <w:szCs w:val="18"/>
          <w:rtl w:val="0"/>
        </w:rPr>
        <w:t xml:space="preserve">Microsoft. (2022, August 21). </w:t>
      </w:r>
      <w:r w:rsidDel="00000000" w:rsidR="00000000" w:rsidRPr="00000000">
        <w:rPr>
          <w:b w:val="1"/>
          <w:i w:val="1"/>
          <w:sz w:val="18"/>
          <w:szCs w:val="18"/>
          <w:rtl w:val="0"/>
        </w:rPr>
        <w:t xml:space="preserve">What is Azure role-based access control (Azure RBAC)?</w:t>
      </w:r>
      <w:r w:rsidDel="00000000" w:rsidR="00000000" w:rsidRPr="00000000">
        <w:rPr>
          <w:b w:val="1"/>
          <w:sz w:val="18"/>
          <w:szCs w:val="18"/>
          <w:rtl w:val="0"/>
        </w:rPr>
        <w:t xml:space="preserve"> Learn.microsoft.com. </w:t>
      </w:r>
      <w:hyperlink r:id="rId9">
        <w:r w:rsidDel="00000000" w:rsidR="00000000" w:rsidRPr="00000000">
          <w:rPr>
            <w:b w:val="1"/>
            <w:color w:val="1155cc"/>
            <w:sz w:val="18"/>
            <w:szCs w:val="18"/>
            <w:u w:val="single"/>
            <w:rtl w:val="0"/>
          </w:rPr>
          <w:t xml:space="preserve">https://learn.microsoft.com/en-us/azure/role-based-access-control/overview</w:t>
        </w:r>
      </w:hyperlink>
      <w:r w:rsidDel="00000000" w:rsidR="00000000" w:rsidRPr="00000000">
        <w:rPr>
          <w:rtl w:val="0"/>
        </w:rPr>
      </w:r>
    </w:p>
    <w:p w:rsidR="00000000" w:rsidDel="00000000" w:rsidP="00000000" w:rsidRDefault="00000000" w:rsidRPr="00000000" w14:paraId="00000038">
      <w:pPr>
        <w:spacing w:line="480" w:lineRule="auto"/>
        <w:ind w:left="0" w:firstLine="0"/>
        <w:rPr>
          <w:b w:val="1"/>
          <w:sz w:val="18"/>
          <w:szCs w:val="18"/>
        </w:rPr>
      </w:pPr>
      <w:r w:rsidDel="00000000" w:rsidR="00000000" w:rsidRPr="00000000">
        <w:rPr>
          <w:rtl w:val="0"/>
        </w:rPr>
      </w:r>
    </w:p>
    <w:p w:rsidR="00000000" w:rsidDel="00000000" w:rsidP="00000000" w:rsidRDefault="00000000" w:rsidRPr="00000000" w14:paraId="00000039">
      <w:pPr>
        <w:spacing w:line="480" w:lineRule="auto"/>
        <w:ind w:left="720" w:firstLine="0"/>
        <w:rPr>
          <w:b w:val="1"/>
          <w:sz w:val="18"/>
          <w:szCs w:val="18"/>
        </w:rPr>
      </w:pPr>
      <w:r w:rsidDel="00000000" w:rsidR="00000000" w:rsidRPr="00000000">
        <w:rPr>
          <w:rtl w:val="0"/>
        </w:rPr>
      </w:r>
    </w:p>
    <w:p w:rsidR="00000000" w:rsidDel="00000000" w:rsidP="00000000" w:rsidRDefault="00000000" w:rsidRPr="00000000" w14:paraId="0000003A">
      <w:pPr>
        <w:spacing w:line="480" w:lineRule="auto"/>
        <w:ind w:left="720"/>
        <w:rPr>
          <w:b w:val="1"/>
          <w:sz w:val="18"/>
          <w:szCs w:val="18"/>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role-based-access-control/overview" TargetMode="External"/><Relationship Id="rId5" Type="http://schemas.openxmlformats.org/officeDocument/2006/relationships/styles" Target="styles.xml"/><Relationship Id="rId6" Type="http://schemas.openxmlformats.org/officeDocument/2006/relationships/hyperlink" Target="https://www.digitalguardian.com/blog/what-role-based-access-control-rbac-examples-benefits-and-more" TargetMode="External"/><Relationship Id="rId7" Type="http://schemas.openxmlformats.org/officeDocument/2006/relationships/hyperlink" Target="https://www.okta.com/uk/identity-101/what-is-token-based-authentication/" TargetMode="External"/><Relationship Id="rId8"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