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2d537e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STATE AGENCY AMAZON SPEND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FISCAL YEAR 2026 PRESENTATION (JULY 2025 – SEPTEMBER 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46464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Prepared by: Arulprakash V (Data Analyst)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46464"/>
          <w:sz w:val="24"/>
          <w:szCs w:val="24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Domain: Government   ___________________________________________________________________________________</w:t>
      </w:r>
    </w:p>
    <w:tbl>
      <w:tblPr>
        <w:tblStyle w:val="Table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>
            <w:shd w:fill="f8f9f9" w:val="clea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Overview: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report evaluates procurement efficiency across state agencies. Findings indicate that while the majority of transactions are small-scale, total fiscal impact is driven by extreme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d35400"/>
                <w:sz w:val="24"/>
                <w:szCs w:val="24"/>
                <w:rtl w:val="0"/>
              </w:rPr>
              <w:t xml:space="preserve">right-skewness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concentrated spending within specific departments. Data cleaning has ensured a duplicate-free, reliable dataset for high-stakes decision-making.</w:t>
            </w:r>
          </w:p>
        </w:tc>
      </w:tr>
    </w:tbl>
    <w:p w:rsidR="00000000" w:rsidDel="00000000" w:rsidP="00000000" w:rsidRDefault="00000000" w:rsidRPr="00000000" w14:paraId="00000007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KEY STATISTICAL INSIGHTS</w:t>
      </w:r>
    </w:p>
    <w:tbl>
      <w:tblPr>
        <w:tblStyle w:val="Table3"/>
        <w:tblW w:w="10080.0" w:type="dxa"/>
        <w:jc w:val="left"/>
        <w:tblLayout w:type="fixed"/>
        <w:tblLook w:val="0400"/>
      </w:tblPr>
      <w:tblGrid>
        <w:gridCol w:w="9810"/>
        <w:gridCol w:w="270"/>
        <w:tblGridChange w:id="0">
          <w:tblGrid>
            <w:gridCol w:w="9810"/>
            <w:gridCol w:w="270"/>
          </w:tblGrid>
        </w:tblGridChange>
      </w:tblGrid>
      <w:tr>
        <w:trPr>
          <w:cantSplit w:val="0"/>
          <w:trHeight w:val="309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980b9"/>
                <w:sz w:val="24"/>
                <w:szCs w:val="24"/>
                <w:rtl w:val="0"/>
              </w:rPr>
              <w:t xml:space="preserve">Concentrated Expenditure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Spending is dominated by 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 of  Children ,Youth and Families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and the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Department of Social and Health services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Product volume is highest in Home Improvement and Office Products, while specialized items drive the highest unit costs.</w:t>
            </w:r>
          </w:p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980b9"/>
                <w:sz w:val="24"/>
                <w:szCs w:val="24"/>
                <w:rtl w:val="0"/>
              </w:rPr>
              <w:t xml:space="preserve">Distribution Skewness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Extreme right-skewness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Payment Amount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confirms that a few high-value transactions inflate averages, suggesting a need for tiered procurement approval levels.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  <w:color w:val="2980b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980b9"/>
                <w:sz w:val="24"/>
                <w:szCs w:val="24"/>
                <w:rtl w:val="0"/>
              </w:rPr>
              <w:t xml:space="preserve">Fiscal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Spending followed a sequential decline: July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(Peak)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&gt; August &gt; September. This suggests an initial-quarter spending surge followed by stabilization.</w:t>
            </w:r>
          </w:p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980b9"/>
                <w:sz w:val="24"/>
                <w:szCs w:val="24"/>
                <w:rtl w:val="0"/>
              </w:rPr>
              <w:t xml:space="preserve">Shipping &amp; Promotional Impact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Strong correlation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identified between quantity and shipping overhead. Significant "Item Promotions" are rare but provide substantial cost relief when applied.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MULTI-DIMENSIONAL ANALYSIS FRAMEWORK</w:t>
      </w:r>
    </w:p>
    <w:tbl>
      <w:tblPr>
        <w:tblStyle w:val="Table4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35"/>
        <w:gridCol w:w="5035"/>
        <w:tblGridChange w:id="0">
          <w:tblGrid>
            <w:gridCol w:w="5035"/>
            <w:gridCol w:w="5035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Analysis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3e50" w:val="clea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Methodology &amp; Key Revelations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980b9"/>
                <w:sz w:val="24"/>
                <w:szCs w:val="24"/>
                <w:rtl w:val="0"/>
              </w:rPr>
              <w:t xml:space="preserve">Descriptive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Aggregated central tendency and dispersion metrics. Confirmed the disparity between the $306 mean and $120 median, identifying top-tier agencies and manufacturers.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980b9"/>
                <w:sz w:val="24"/>
                <w:szCs w:val="24"/>
                <w:rtl w:val="0"/>
              </w:rPr>
              <w:t xml:space="preserve">Diagnostic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Root-cause analysis of expenditure spikes. Isolated high-cost outliers in shipping fees and linked high item counts as the primary driver for overhead variance.</w:t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35"/>
        <w:gridCol w:w="5035"/>
        <w:tblGridChange w:id="0">
          <w:tblGrid>
            <w:gridCol w:w="5035"/>
            <w:gridCol w:w="50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980b9"/>
                <w:sz w:val="24"/>
                <w:szCs w:val="24"/>
                <w:rtl w:val="0"/>
              </w:rPr>
              <w:t xml:space="preserve">Predictive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Establishing baseline demand patterns. Currently, the dataset is "Model-Ready," enabling future time-series forecasting to anticipate Q3/Q4 budget requirements.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980b9"/>
                <w:sz w:val="24"/>
                <w:szCs w:val="24"/>
                <w:rtl w:val="0"/>
              </w:rPr>
              <w:t xml:space="preserve">Prescriptive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Defining actionable procurement protocols. Insights recommend shifting toward bulk-contracting for "Home Improvement" to mitigate spot-price volatility.</w:t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DECISION SUPPORT &amp; RECOMMENDATIONS</w:t>
      </w:r>
    </w:p>
    <w:tbl>
      <w:tblPr>
        <w:tblStyle w:val="Table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>
            <w:shd w:fill="fef9e7" w:val="clea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Targeted Budget Review: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Prioritize oversight for Children Youth and Families and Home Improvement categories to identify bulk-buy savings.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Anomalous Spend Audits: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Establish a trigger for manual review of transactions exceeding the 95th percentile in shipping-to-cost ratio.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Promotional Capture: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Standardize the application of 'Item Promotions' across agencies to replicate the significant discounts seen in outlier cases.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 Optimization: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Evaluate the performance of the Top 5 Manufacturers to move high-frequency items into negotiated master contracts.</w:t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STRATEGIC ROADMAP FOR ENHANCEMENTS</w:t>
      </w:r>
    </w:p>
    <w:tbl>
      <w:tblPr>
        <w:tblStyle w:val="Table7"/>
        <w:tblW w:w="10080.0" w:type="dxa"/>
        <w:jc w:val="left"/>
        <w:tblLayout w:type="fixed"/>
        <w:tblLook w:val="0400"/>
      </w:tblPr>
      <w:tblGrid>
        <w:gridCol w:w="9810"/>
        <w:gridCol w:w="270"/>
        <w:tblGridChange w:id="0">
          <w:tblGrid>
            <w:gridCol w:w="9810"/>
            <w:gridCol w:w="27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980b9"/>
                <w:sz w:val="24"/>
                <w:szCs w:val="24"/>
                <w:rtl w:val="0"/>
              </w:rPr>
              <w:t xml:space="preserve">Automation &amp; Real-Time Reporting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Developing interactive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Power BI dashboards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transition from static reporting to real-time budget tracking and automated deviation alerts.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980b9"/>
                <w:sz w:val="24"/>
                <w:szCs w:val="24"/>
                <w:rtl w:val="0"/>
              </w:rPr>
              <w:t xml:space="preserve">ML Forecasting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ARIMA </w:t>
            </w:r>
            <w:r w:rsidDel="00000000" w:rsidR="00000000" w:rsidRPr="00000000">
              <w:rPr>
                <w:rFonts w:ascii="Arial" w:cs="Arial" w:eastAsia="Arial" w:hAnsi="Arial"/>
                <w:color w:val="eef0ff"/>
                <w:sz w:val="24"/>
                <w:szCs w:val="24"/>
                <w:shd w:fill="666666" w:val="clear"/>
                <w:rtl w:val="0"/>
              </w:rPr>
              <w:t xml:space="preserve">(Autoregressive Integrated Moving Average)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Prophet modeling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predict monthly outflows and prevent end-of-quarter budget shortfalls.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980b9"/>
                <w:sz w:val="24"/>
                <w:szCs w:val="24"/>
                <w:rtl w:val="0"/>
              </w:rPr>
              <w:t xml:space="preserve">Longitudinal Expansion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Integrating multi-fiscal-year data to identify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cyclical procurement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peaks (e.g., Year-End closeouts) and improve seasonal budgeting accuracy.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980b9"/>
                <w:sz w:val="24"/>
                <w:szCs w:val="24"/>
                <w:rtl w:val="0"/>
              </w:rPr>
              <w:t xml:space="preserve">Sentiment &amp; Performance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Layering 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vendor review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data to pivot state spend toward suppliers with high satisfaction ratings and low return rates.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br w:type="textWrapping"/>
        <w:br w:type="textWrapping"/>
        <w:t xml:space="preserve">Prepared by Arulprakash V. Analysis based on FY26 Amazon Spend Dataset (July-Sept 2025).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X/xKUaxmF0vRC7XWdWFirOgE7g==">CgMxLjA4AHIhMU1Da0NQQ1ZiN2RwbDcyb1ZQTUFycnFIcG1ISm1zVG1p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2026-02-13T17:39:00Z</dcterms:created>
  <dc:creator>python-docx</dc:creator>
</cp:coreProperties>
</file>