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Ich darf wählen — aber was kommt danach?</w:t>
      </w:r>
    </w:p>
    <w:p>
      <w:r>
        <w:t>Seite 1 · Rollen für das Evangeliumsspiel</w:t>
      </w:r>
    </w:p>
    <w:p>
      <w:r>
        <w:t>Fünf Karten ausschneiden. Sätze nach Lukas 15,11–32 lesen. Erzähler kündigt Episoden an; Zuschauer beobachten Entscheidungen.</w:t>
      </w:r>
    </w:p>
    <w:tbl>
      <w:tblPr>
        <w:tblStyle w:val="TableGrid"/>
        <w:tblW w:type="auto" w:w="0"/>
        <w:tblLook w:firstColumn="1" w:firstRow="1" w:lastColumn="0" w:lastRow="0" w:noHBand="0" w:noVBand="1" w:val="04A0"/>
      </w:tblPr>
      <w:tblGrid>
        <w:gridCol w:w="9978"/>
      </w:tblGrid>
      <w:tr>
        <w:tc>
          <w:tcPr>
            <w:tcW w:type="dxa" w:w="9978"/>
          </w:tcPr>
          <w:p>
            <w:pPr>
              <w:keepNext/>
            </w:pPr>
            <w:r>
              <w:rPr>
                <w:b/>
              </w:rPr>
              <w:t>Erzähler</w:t>
            </w:r>
          </w:p>
          <w:p>
            <w:pPr>
              <w:keepNext/>
            </w:pPr>
            <w:r>
              <w:t xml:space="preserve"> Ereignisse 11–17, 20, 24–25, 28 berichten. Ende nicht ergänzen.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Jüngerer Sohn</w:t>
            </w:r>
          </w:p>
          <w:p>
            <w:pPr>
              <w:keepNext/>
            </w:pPr>
            <w:r>
              <w:t xml:space="preserve"> Weggang und Rückkehr zeigen, 18 und 21 lesen.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Vater</w:t>
            </w:r>
          </w:p>
          <w:p>
            <w:pPr>
              <w:keepNext/>
            </w:pPr>
            <w:r>
              <w:t xml:space="preserve"> Jüngeren aufnehmen, zum älteren hinausgehen, 22–24 und 31–32 lesen.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Älterer Sohn</w:t>
            </w:r>
          </w:p>
          <w:p>
            <w:pPr>
              <w:keepNext/>
            </w:pPr>
            <w:r>
              <w:t xml:space="preserve"> Vor der Schwelle bleiben, 26 und 29–30 lesen.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Diener</w:t>
            </w:r>
          </w:p>
          <w:p>
            <w:pPr>
              <w:keepNext/>
            </w:pPr>
            <w:r>
              <w:t xml:space="preserve"> Dem älteren mit 27 antworten.</w:t>
            </w:r>
          </w:p>
        </w:tc>
      </w:tr>
    </w:tbl>
    <w:p/>
    <w:p>
      <w:r>
        <w:t>Bild zeigt einen Ausschnitt, Diener tritt später auf. Nach 32 stoppen; nächste Entscheidung des älteren bleibt ungenannt.</w:t>
      </w:r>
    </w:p>
    <w:p>
      <w:r>
        <w:t>Seite 2 · Entscheidung und Umstand</w:t>
      </w:r>
    </w:p>
    <w:p>
      <w:r>
        <w:t>Sechs Karten ausschneiden, zu zweit in jüngere Entscheidung, ältere Entscheidung, äußeren Umstand sortieren. Am Text prüfen, Rollen wechseln.</w:t>
      </w:r>
    </w:p>
    <w:p>
      <w:r>
        <w:t>Bittet um seinen Anteil und geht (12–13). Verbraucht Besitz (13). Hungersnot im Land (14). Beschließt zum Vater zurückzukehren (17–19). Steht auf und geht zum Vater (20). Älterer will nicht eintreten (28).</w:t>
      </w:r>
    </w:p>
    <w:p>
      <w:r>
        <w:t>Entscheidung und Umstand nennen; gemeinsamen Einfluss auf die Not erklären. Felder: Entscheidung des jüngeren, äußerer Umstand, neuer möglicher Schritt.</w:t>
      </w:r>
    </w:p>
    <w:p>
      <w:r>
        <w:t>Seite 3 · Vier Bedingungen einer Entscheidung</w:t>
      </w:r>
    </w:p>
    <w:p>
      <w:r>
        <w:t>Ilja versprach einen Modellteil, will aber spielen. Jeder erhält eine Bedingung, berichtet; alle vier nutzen. Erst zwei Möglichkeiten vergleichen, dann vereinbaren.</w:t>
      </w:r>
    </w:p>
    <w:tbl>
      <w:tblPr>
        <w:tblStyle w:val="TableGrid"/>
        <w:tblW w:type="auto" w:w="0"/>
        <w:tblLook w:firstColumn="1" w:firstRow="1" w:lastColumn="0" w:lastRow="0" w:noHBand="0" w:noVBand="1" w:val="04A0"/>
      </w:tblPr>
      <w:tblGrid>
        <w:gridCol w:w="9978"/>
      </w:tblGrid>
      <w:tr>
        <w:tc>
          <w:tcPr>
            <w:tcW w:type="dxa" w:w="9978"/>
          </w:tcPr>
          <w:p>
            <w:pPr>
              <w:keepNext/>
            </w:pPr>
            <w:r>
              <w:rPr>
                <w:b/>
              </w:rPr>
              <w:t>Frist</w:t>
            </w:r>
          </w:p>
          <w:p>
            <w:pPr>
              <w:keepNext/>
            </w:pPr>
            <w:r>
              <w:t xml:space="preserve"> Jetzt 18:00. Iljas Teil bis 19:00. Team braucht zehn Minuten gemeinsame Prüfung.</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Umfang</w:t>
            </w:r>
          </w:p>
          <w:p>
            <w:pPr>
              <w:keepNext/>
            </w:pPr>
            <w:r>
              <w:t xml:space="preserve"> Ilja schafft seinen Teil in 40 Minuten. Ohne ihn ist das Modell unvollständig.</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Material</w:t>
            </w:r>
          </w:p>
          <w:p>
            <w:pPr>
              <w:keepNext/>
            </w:pPr>
            <w:r>
              <w:t xml:space="preserve"> Fertige Teile und Materialien bei Ilja. Übergabe und Nachricht dauern fünf Minuten.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Andere Menschen</w:t>
            </w:r>
          </w:p>
          <w:p>
            <w:pPr>
              <w:keepNext/>
            </w:pPr>
            <w:r>
              <w:t xml:space="preserve"> Team vertraut auf Vereinbarung. Spiel beginnt 18:30; späterer Anschluss nach Absprache möglich.</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Je Möglichkeit</w:t>
            </w:r>
          </w:p>
          <w:p>
            <w:pPr>
              <w:keepNext/>
            </w:pPr>
            <w:r>
              <w:t xml:space="preserve"> jetzt, morgen möglich, Betroffene, Verantwortung. Beide Pläne nach neuer Bedingung bewahren. Felder: Möglichkeit A und Folgen; B und Folgen; erster Plan mit Aufgaben/Fristen; neuer Plan mit Änderungen.</w:t>
            </w:r>
          </w:p>
        </w:tc>
      </w:tr>
    </w:tbl>
    <w:p/>
    <w:p>
      <w:r>
        <w:t>Seite 4 · Situationen zu zweit</w:t>
      </w:r>
    </w:p>
    <w:p>
      <w:r>
        <w:t>A schlägt hastige Entscheidung vor, B setzt Grenze und bietet Alternative. Rollen und Karten wechseln. Zuhörer wiederholt Alternative.</w:t>
      </w:r>
    </w:p>
    <w:tbl>
      <w:tblPr>
        <w:tblStyle w:val="TableGrid"/>
        <w:tblW w:type="auto" w:w="0"/>
        <w:tblLook w:firstColumn="1" w:firstRow="1" w:lastColumn="0" w:lastRow="0" w:noHBand="0" w:noVBand="1" w:val="04A0"/>
      </w:tblPr>
      <w:tblGrid>
        <w:gridCol w:w="9978"/>
      </w:tblGrid>
      <w:tr>
        <w:tc>
          <w:tcPr>
            <w:tcW w:type="dxa" w:w="9978"/>
          </w:tcPr>
          <w:p>
            <w:pPr>
              <w:keepNext/>
            </w:pPr>
            <w:r>
              <w:rPr>
                <w:b/>
              </w:rPr>
              <w:t>Abschreiben oder verstehen</w:t>
            </w:r>
          </w:p>
          <w:p>
            <w:pPr>
              <w:keepNext/>
            </w:pPr>
            <w:r>
              <w:t xml:space="preserve"> Freund fordert Antworten: „Sonst bist du kein Freund.“ Wie Grenze und Hilfe anbieten?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Fremdes Foto</w:t>
            </w:r>
          </w:p>
          <w:p>
            <w:pPr>
              <w:keepNext/>
            </w:pPr>
            <w:r>
              <w:t xml:space="preserve"> Persönliches Foto eines Mitschülers ohne Zustimmung weiterleiten? Was sagen und anbieten?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Versprochene Arbeit</w:t>
            </w:r>
          </w:p>
          <w:p>
            <w:pPr>
              <w:keepNext/>
            </w:pPr>
            <w:r>
              <w:t xml:space="preserve"> Spielen gehen wollen, Projektteil nicht fertig. Was dem Team mitteilen?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Gemeinsame Aufgabe verlassen</w:t>
            </w:r>
          </w:p>
          <w:p>
            <w:pPr>
              <w:keepNext/>
            </w:pPr>
            <w:r>
              <w:t xml:space="preserve"> Tätigkeit wechseln wollen, andere erwarten Arbeit heute. Wie neuen Vertrag besprechen?</w:t>
            </w:r>
          </w:p>
        </w:tc>
      </w:tr>
    </w:tbl>
    <w:p/>
    <w:p>
      <w:r>
        <w:t>Seite 5 · Mit Wiedergutmachung beginnen</w:t>
      </w:r>
    </w:p>
    <w:p>
      <w:r>
        <w:t>Persönliches Foto ohne Zustimmung weitergeschickt. Vier Karten ausschneiden und mischen; Schritte ordnen und erstes Handeln erklären. Manche Schritte können zeitlich nebeneinander erfolgen.</w:t>
      </w:r>
    </w:p>
    <w:tbl>
      <w:tblPr>
        <w:tblStyle w:val="TableGrid"/>
        <w:tblW w:type="auto" w:w="0"/>
        <w:tblLook w:firstColumn="1" w:firstRow="1" w:lastColumn="0" w:lastRow="0" w:noHBand="0" w:noVBand="1" w:val="04A0"/>
      </w:tblPr>
      <w:tblGrid>
        <w:gridCol w:w="9978"/>
      </w:tblGrid>
      <w:tr>
        <w:tc>
          <w:tcPr>
            <w:tcW w:type="dxa" w:w="9978"/>
          </w:tcPr>
          <w:p>
            <w:pPr>
              <w:keepNext/>
            </w:pPr>
            <w:r>
              <w:rPr>
                <w:b/>
              </w:rPr>
              <w:t>Wiedergutmachung besprechen</w:t>
            </w:r>
          </w:p>
          <w:p>
            <w:pPr>
              <w:keepNext/>
            </w:pPr>
            <w:r>
              <w:t xml:space="preserve"> Fragen, was hilft; machbare Handlung vereinbaren.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Schaden stoppen</w:t>
            </w:r>
          </w:p>
          <w:p>
            <w:pPr>
              <w:keepNext/>
            </w:pPr>
            <w:r>
              <w:t xml:space="preserve"> Nicht weiterleiten, Empfänger um Löschen bitten.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Tun und prüfen</w:t>
            </w:r>
          </w:p>
          <w:p>
            <w:pPr>
              <w:keepNext/>
            </w:pPr>
            <w:r>
              <w:t xml:space="preserve"> Vereinbarung erfüllen, Ergebnis prüfen; Vertrauen kann allmählich zurückkehren.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Tat eingestehen</w:t>
            </w:r>
          </w:p>
          <w:p>
            <w:pPr>
              <w:keepNext/>
            </w:pPr>
            <w:r>
              <w:t xml:space="preserve"> „Ich habe es ohne deine Zustimmung weitergeschickt.“ Nicht rechtfertigen.</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Zwei kurze Gespräche</w:t>
            </w:r>
          </w:p>
          <w:p>
            <w:pPr>
              <w:keepNext/>
            </w:pPr>
            <w:r>
              <w:t xml:space="preserve"> Erst Grenze und ehrliche Hilfe; Partner wiederholt. Felder: mein Satz, gehörte Alternative. Rollen wechseln: Fehler bereits passiert; Tat eingestehen und ersten Wiedergutmachungsschritt nennen. Felder: mein Satz, was ich heute tue.</w:t>
            </w:r>
          </w:p>
        </w:tc>
      </w:tr>
    </w:tbl>
    <w:p/>
    <w:p>
      <w:r>
        <w:t>Eigene Kopie löschen garantiert nicht, dass alle verschwinden. Sofortiges Vertrauen nicht versprechen; Vereinbarung erfüllen.</w:t>
      </w:r>
    </w:p>
    <w:p>
      <w:r>
        <w:t>Seite 6 · Meine Entscheidung für die Woche</w:t>
      </w:r>
    </w:p>
    <w:p>
      <w:r>
        <w:t>Name freiwillig, Datum. Echter Fall oder Iljas Geschichte möglich. Blatt bleibt bei dir.</w:t>
      </w:r>
    </w:p>
    <w:p>
      <w:r>
        <w:t>Welche Handlung wähle ich? Wen betrifft sie? Welche Folgen sind jetzt und später möglich? Welche ehrliche Alternative habe ich? Was tue ich zuerst und wann? Wie prüfe ich das Ergebnis und wen bitte ich um Rat?</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9978"/>
      </w:tblGrid>
      <w:tr>
        <w:tc>
          <w:tcPr>
            <w:tcW w:type="dxa" w:w="9978"/>
          </w:tcPr>
          <w:p>
            <w:pPr>
              <w:keepNext/>
            </w:pPr>
            <w:r>
              <w:rPr>
                <w:b/>
              </w:rPr>
              <w:t>Gebet</w:t>
            </w:r>
          </w:p>
          <w:p>
            <w:pPr>
              <w:keepNext/>
            </w:pPr>
            <w:r>
              <w:t xml:space="preserve"> Herr Jesus Christus, hilf mir, die Folgen meiner Handlungen zu sehen, Fehler einzugestehen und das Gute zu wählen. Schenke mir Mut, zu dir zurückzukehren und mit Wiedergutmachung zu beginnen. Amen. Selbst verfasstes kurzes Gebetsbeispiel.</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Ich darf wählen — aber was kommt danach?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