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Warum hören wir einander nicht mehr zu</w:t>
      </w:r>
    </w:p>
    <w:p>
      <w:pPr>
        <w:pStyle w:val="Subtitle"/>
      </w:pPr>
      <w:r>
        <w:t>Unterricht für Erwachsene · 60 Min / Praktischer Abend für Ehepaare · 75 Min</w:t>
      </w:r>
    </w:p>
    <w:p>
      <w:pPr>
        <w:jc w:val="right"/>
      </w:pPr>
      <w:r>
        <w:drawing>
          <wp:inline xmlns:a="http://schemas.openxmlformats.org/drawingml/2006/main" xmlns:pic="http://schemas.openxmlformats.org/drawingml/2006/picture">
            <wp:extent cx="4663440" cy="2624580"/>
            <wp:docPr id="1" name="Picture 1" descr="Illustration 01"/>
            <wp:cNvGraphicFramePr>
              <a:graphicFrameLocks noChangeAspect="1"/>
            </wp:cNvGraphicFramePr>
            <a:graphic>
              <a:graphicData uri="http://schemas.openxmlformats.org/drawingml/2006/picture">
                <pic:pic>
                  <pic:nvPicPr>
                    <pic:cNvPr id="0" name="01.png"/>
                    <pic:cNvPicPr/>
                  </pic:nvPicPr>
                  <pic:blipFill>
                    <a:blip r:embed="rId10"/>
                    <a:stretch>
                      <a:fillRect/>
                    </a:stretch>
                  </pic:blipFill>
                  <pic:spPr>
                    <a:xfrm>
                      <a:off x="0" y="0"/>
                      <a:ext cx="4663440" cy="2624580"/>
                    </a:xfrm>
                    <a:prstGeom prst="rect"/>
                  </pic:spPr>
                </pic:pic>
              </a:graphicData>
            </a:graphic>
          </wp:inline>
        </w:drawing>
      </w:r>
    </w:p>
    <w:p>
      <w:pPr>
        <w:pStyle w:val="Heading1"/>
      </w:pPr>
      <w:r>
        <w:t>Kurzprofil</w:t>
      </w:r>
    </w:p>
    <w:p>
      <w:r>
        <w:t>Erwachsene ab 18 Jahren. Allgemeiner Unterricht: 4–24 Personen, unabhängig vom Familienstand. Ehepaarabend: ein Paar mit Leitung oder 2–8 Paare.</w:t>
      </w:r>
    </w:p>
    <w:p>
      <w:r>
        <w:t>Jakobus 1,19–20; Epheser 4,25–32. Elberfelder 1905.</w:t>
      </w:r>
    </w:p>
    <w:p>
      <w:r>
        <w:t>Gesagtes von eigenen Vermutungen unterscheiden, das Verständnis überprüfen und eine Bitte ohne Vorwurf aussprechen.</w:t>
      </w:r>
    </w:p>
    <w:p>
      <w:r>
        <w:t>Dem Nächsten zuhören heißt, ihn verstehen zu wollen, bevor wir antworten. Wahrhaftigkeit, Güte und Verantwortung für die eigenen Worte helfen, miteinander im Gespräch zu bleiben.</w:t>
      </w:r>
    </w:p>
    <w:p>
      <w:pPr>
        <w:pStyle w:val="Heading2"/>
      </w:pPr>
      <w:r>
        <w:t>Lernziele</w:t>
      </w:r>
    </w:p>
    <w:p>
      <w:r>
        <w:t>Die Teilnehmenden unterscheiden in zwei Situationen Beobachtung und Vermutung.</w:t>
      </w:r>
    </w:p>
    <w:p>
      <w:r>
        <w:t>Sie geben im Zweiergespräch das Anliegen des Gegenübers wieder und lassen es bestätigen oder berichtigen.</w:t>
      </w:r>
    </w:p>
    <w:p>
      <w:r>
        <w:t>Sie formulieren eine konkrete Bitte und vereinbaren einen Gesprächstermin für die kommende Woche.</w:t>
      </w:r>
    </w:p>
    <w:p>
      <w:r>
        <w:br w:type="page"/>
      </w:r>
    </w:p>
    <w:p>
      <w:pPr>
        <w:pStyle w:val="Heading1"/>
      </w:pPr>
      <w:r>
        <w:t>Unterrichtsplan</w:t>
      </w:r>
    </w:p>
    <w:p>
      <w:r>
        <w:t>Wählen Sie ein Format und führen Sie es vollständig durch. Jede Drehbuchseite enthält zuerst den allgemeinen Unterricht und danach die eigenständige Variante für Ehepaare.</w:t>
      </w:r>
    </w:p>
    <w:tbl>
      <w:tblPr>
        <w:tblW w:type="auto" w:w="0"/>
        <w:tblLayout w:type="fixed"/>
        <w:tblLook w:firstColumn="1" w:firstRow="1" w:lastColumn="0" w:lastRow="0" w:noHBand="0" w:noVBand="1" w:val="04A0"/>
      </w:tblPr>
      <w:tblGrid>
        <w:gridCol w:w="5783"/>
        <w:gridCol w:w="2041"/>
        <w:gridCol w:w="2041"/>
      </w:tblGrid>
      <w:tr>
        <w:tc>
          <w:tcPr>
            <w:tcW w:type="dxa" w:w="5783"/>
            <w:tcBorders>
              <w:top w:val="single" w:sz="4" w:color="D9D9D9"/>
              <w:left w:val="single" w:sz="4" w:color="D9D9D9"/>
              <w:bottom w:val="single" w:sz="4" w:color="D9D9D9"/>
              <w:right w:val="single" w:sz="4" w:color="D9D9D9"/>
            </w:tcBorders>
            <w:shd w:fill="DDE6EB"/>
          </w:tcPr>
          <w:p>
            <w:pPr>
              <w:spacing w:after="80" w:before="80"/>
            </w:pPr>
            <w:r>
              <w:rPr>
                <w:b/>
                <w:sz w:val="18"/>
              </w:rPr>
              <w:t>Phase</w:t>
            </w:r>
          </w:p>
        </w:tc>
        <w:tc>
          <w:tcPr>
            <w:tcW w:type="dxa" w:w="2041"/>
            <w:tcBorders>
              <w:top w:val="single" w:sz="4" w:color="D9D9D9"/>
              <w:left w:val="single" w:sz="4" w:color="D9D9D9"/>
              <w:bottom w:val="single" w:sz="4" w:color="D9D9D9"/>
              <w:right w:val="single" w:sz="4" w:color="D9D9D9"/>
            </w:tcBorders>
            <w:shd w:fill="DDE6EB"/>
          </w:tcPr>
          <w:p>
            <w:pPr>
              <w:spacing w:after="80" w:before="80"/>
            </w:pPr>
            <w:r>
              <w:rPr>
                <w:b/>
                <w:sz w:val="18"/>
              </w:rPr>
              <w:t>60 Min</w:t>
            </w:r>
          </w:p>
        </w:tc>
        <w:tc>
          <w:tcPr>
            <w:tcW w:type="dxa" w:w="2041"/>
            <w:tcBorders>
              <w:top w:val="single" w:sz="4" w:color="D9D9D9"/>
              <w:left w:val="single" w:sz="4" w:color="D9D9D9"/>
              <w:bottom w:val="single" w:sz="4" w:color="D9D9D9"/>
              <w:right w:val="single" w:sz="4" w:color="D9D9D9"/>
            </w:tcBorders>
            <w:shd w:fill="DDE6EB"/>
          </w:tcPr>
          <w:p>
            <w:pPr>
              <w:spacing w:after="80" w:before="80"/>
            </w:pPr>
            <w:r>
              <w:rPr>
                <w:b/>
                <w:sz w:val="18"/>
              </w:rPr>
              <w:t>75 Min</w:t>
            </w:r>
          </w:p>
        </w:tc>
      </w:tr>
      <w:tr>
        <w:tc>
          <w:tcPr>
            <w:tcW w:type="dxa" w:w="5783"/>
            <w:tcBorders>
              <w:top w:val="single" w:sz="4" w:color="D9D9D9"/>
              <w:left w:val="single" w:sz="4" w:color="D9D9D9"/>
              <w:bottom w:val="single" w:sz="4" w:color="D9D9D9"/>
              <w:right w:val="single" w:sz="4" w:color="D9D9D9"/>
            </w:tcBorders>
            <w:shd w:fill="FFFFFF"/>
          </w:tcPr>
          <w:p>
            <w:pPr>
              <w:spacing w:after="80" w:before="80"/>
            </w:pPr>
            <w:r>
              <w:rPr>
                <w:b w:val="0"/>
                <w:sz w:val="18"/>
              </w:rPr>
              <w:t>1. Einander zuhören</w:t>
            </w:r>
          </w:p>
        </w:tc>
        <w:tc>
          <w:tcPr>
            <w:tcW w:type="dxa" w:w="2041"/>
            <w:tcBorders>
              <w:top w:val="single" w:sz="4" w:color="D9D9D9"/>
              <w:left w:val="single" w:sz="4" w:color="D9D9D9"/>
              <w:bottom w:val="single" w:sz="4" w:color="D9D9D9"/>
              <w:right w:val="single" w:sz="4" w:color="D9D9D9"/>
            </w:tcBorders>
            <w:shd w:fill="FFFFFF"/>
          </w:tcPr>
          <w:p>
            <w:pPr>
              <w:spacing w:after="80" w:before="80"/>
            </w:pPr>
            <w:r>
              <w:rPr>
                <w:b w:val="0"/>
                <w:sz w:val="18"/>
              </w:rPr>
              <w:t>00–03 (3)</w:t>
            </w:r>
          </w:p>
        </w:tc>
        <w:tc>
          <w:tcPr>
            <w:tcW w:type="dxa" w:w="2041"/>
            <w:tcBorders>
              <w:top w:val="single" w:sz="4" w:color="D9D9D9"/>
              <w:left w:val="single" w:sz="4" w:color="D9D9D9"/>
              <w:bottom w:val="single" w:sz="4" w:color="D9D9D9"/>
              <w:right w:val="single" w:sz="4" w:color="D9D9D9"/>
            </w:tcBorders>
            <w:shd w:fill="FFFFFF"/>
          </w:tcPr>
          <w:p>
            <w:pPr>
              <w:spacing w:after="80" w:before="80"/>
            </w:pPr>
            <w:r>
              <w:rPr>
                <w:b w:val="0"/>
                <w:sz w:val="18"/>
              </w:rPr>
              <w:t>00–04 (4)</w:t>
            </w:r>
          </w:p>
        </w:tc>
      </w:tr>
      <w:tr>
        <w:tc>
          <w:tcPr>
            <w:tcW w:type="dxa" w:w="5783"/>
            <w:tcBorders>
              <w:top w:val="single" w:sz="4" w:color="D9D9D9"/>
              <w:left w:val="single" w:sz="4" w:color="D9D9D9"/>
              <w:bottom w:val="single" w:sz="4" w:color="D9D9D9"/>
              <w:right w:val="single" w:sz="4" w:color="D9D9D9"/>
            </w:tcBorders>
            <w:shd w:fill="F6F7F8"/>
          </w:tcPr>
          <w:p>
            <w:pPr>
              <w:spacing w:after="80" w:before="80"/>
            </w:pPr>
            <w:r>
              <w:rPr>
                <w:b w:val="0"/>
                <w:sz w:val="18"/>
              </w:rPr>
              <w:t>2. Ein Abend und zwei Bedeutungen</w:t>
            </w:r>
          </w:p>
        </w:tc>
        <w:tc>
          <w:tcPr>
            <w:tcW w:type="dxa" w:w="2041"/>
            <w:tcBorders>
              <w:top w:val="single" w:sz="4" w:color="D9D9D9"/>
              <w:left w:val="single" w:sz="4" w:color="D9D9D9"/>
              <w:bottom w:val="single" w:sz="4" w:color="D9D9D9"/>
              <w:right w:val="single" w:sz="4" w:color="D9D9D9"/>
            </w:tcBorders>
            <w:shd w:fill="F6F7F8"/>
          </w:tcPr>
          <w:p>
            <w:pPr>
              <w:spacing w:after="80" w:before="80"/>
            </w:pPr>
            <w:r>
              <w:rPr>
                <w:b w:val="0"/>
                <w:sz w:val="18"/>
              </w:rPr>
              <w:t>03–09 (6)</w:t>
            </w:r>
          </w:p>
        </w:tc>
        <w:tc>
          <w:tcPr>
            <w:tcW w:type="dxa" w:w="2041"/>
            <w:tcBorders>
              <w:top w:val="single" w:sz="4" w:color="D9D9D9"/>
              <w:left w:val="single" w:sz="4" w:color="D9D9D9"/>
              <w:bottom w:val="single" w:sz="4" w:color="D9D9D9"/>
              <w:right w:val="single" w:sz="4" w:color="D9D9D9"/>
            </w:tcBorders>
            <w:shd w:fill="F6F7F8"/>
          </w:tcPr>
          <w:p>
            <w:pPr>
              <w:spacing w:after="80" w:before="80"/>
            </w:pPr>
            <w:r>
              <w:rPr>
                <w:b w:val="0"/>
                <w:sz w:val="18"/>
              </w:rPr>
              <w:t>04–11 (7)</w:t>
            </w:r>
          </w:p>
        </w:tc>
      </w:tr>
      <w:tr>
        <w:tc>
          <w:tcPr>
            <w:tcW w:type="dxa" w:w="5783"/>
            <w:tcBorders>
              <w:top w:val="single" w:sz="4" w:color="D9D9D9"/>
              <w:left w:val="single" w:sz="4" w:color="D9D9D9"/>
              <w:bottom w:val="single" w:sz="4" w:color="D9D9D9"/>
              <w:right w:val="single" w:sz="4" w:color="D9D9D9"/>
            </w:tcBorders>
            <w:shd w:fill="FFFFFF"/>
          </w:tcPr>
          <w:p>
            <w:pPr>
              <w:spacing w:after="80" w:before="80"/>
            </w:pPr>
            <w:r>
              <w:rPr>
                <w:b w:val="0"/>
                <w:sz w:val="18"/>
              </w:rPr>
              <w:t>3. Die Antwort steht schon fest</w:t>
            </w:r>
          </w:p>
        </w:tc>
        <w:tc>
          <w:tcPr>
            <w:tcW w:type="dxa" w:w="2041"/>
            <w:tcBorders>
              <w:top w:val="single" w:sz="4" w:color="D9D9D9"/>
              <w:left w:val="single" w:sz="4" w:color="D9D9D9"/>
              <w:bottom w:val="single" w:sz="4" w:color="D9D9D9"/>
              <w:right w:val="single" w:sz="4" w:color="D9D9D9"/>
            </w:tcBorders>
            <w:shd w:fill="FFFFFF"/>
          </w:tcPr>
          <w:p>
            <w:pPr>
              <w:spacing w:after="80" w:before="80"/>
            </w:pPr>
            <w:r>
              <w:rPr>
                <w:b w:val="0"/>
                <w:sz w:val="18"/>
              </w:rPr>
              <w:t>09–14 (5)</w:t>
            </w:r>
          </w:p>
        </w:tc>
        <w:tc>
          <w:tcPr>
            <w:tcW w:type="dxa" w:w="2041"/>
            <w:tcBorders>
              <w:top w:val="single" w:sz="4" w:color="D9D9D9"/>
              <w:left w:val="single" w:sz="4" w:color="D9D9D9"/>
              <w:bottom w:val="single" w:sz="4" w:color="D9D9D9"/>
              <w:right w:val="single" w:sz="4" w:color="D9D9D9"/>
            </w:tcBorders>
            <w:shd w:fill="FFFFFF"/>
          </w:tcPr>
          <w:p>
            <w:pPr>
              <w:spacing w:after="80" w:before="80"/>
            </w:pPr>
            <w:r>
              <w:rPr>
                <w:b w:val="0"/>
                <w:sz w:val="18"/>
              </w:rPr>
              <w:t>11–17 (6)</w:t>
            </w:r>
          </w:p>
        </w:tc>
      </w:tr>
      <w:tr>
        <w:tc>
          <w:tcPr>
            <w:tcW w:type="dxa" w:w="5783"/>
            <w:tcBorders>
              <w:top w:val="single" w:sz="4" w:color="D9D9D9"/>
              <w:left w:val="single" w:sz="4" w:color="D9D9D9"/>
              <w:bottom w:val="single" w:sz="4" w:color="D9D9D9"/>
              <w:right w:val="single" w:sz="4" w:color="D9D9D9"/>
            </w:tcBorders>
            <w:shd w:fill="F6F7F8"/>
          </w:tcPr>
          <w:p>
            <w:pPr>
              <w:spacing w:after="80" w:before="80"/>
            </w:pPr>
            <w:r>
              <w:rPr>
                <w:b w:val="0"/>
                <w:sz w:val="18"/>
              </w:rPr>
              <w:t>4. Unsere Worte und der Glaube</w:t>
            </w:r>
          </w:p>
        </w:tc>
        <w:tc>
          <w:tcPr>
            <w:tcW w:type="dxa" w:w="2041"/>
            <w:tcBorders>
              <w:top w:val="single" w:sz="4" w:color="D9D9D9"/>
              <w:left w:val="single" w:sz="4" w:color="D9D9D9"/>
              <w:bottom w:val="single" w:sz="4" w:color="D9D9D9"/>
              <w:right w:val="single" w:sz="4" w:color="D9D9D9"/>
            </w:tcBorders>
            <w:shd w:fill="F6F7F8"/>
          </w:tcPr>
          <w:p>
            <w:pPr>
              <w:spacing w:after="80" w:before="80"/>
            </w:pPr>
            <w:r>
              <w:rPr>
                <w:b w:val="0"/>
                <w:sz w:val="18"/>
              </w:rPr>
              <w:t>14–22 (8)</w:t>
            </w:r>
          </w:p>
        </w:tc>
        <w:tc>
          <w:tcPr>
            <w:tcW w:type="dxa" w:w="2041"/>
            <w:tcBorders>
              <w:top w:val="single" w:sz="4" w:color="D9D9D9"/>
              <w:left w:val="single" w:sz="4" w:color="D9D9D9"/>
              <w:bottom w:val="single" w:sz="4" w:color="D9D9D9"/>
              <w:right w:val="single" w:sz="4" w:color="D9D9D9"/>
            </w:tcBorders>
            <w:shd w:fill="F6F7F8"/>
          </w:tcPr>
          <w:p>
            <w:pPr>
              <w:spacing w:after="80" w:before="80"/>
            </w:pPr>
            <w:r>
              <w:rPr>
                <w:b w:val="0"/>
                <w:sz w:val="18"/>
              </w:rPr>
              <w:t>17–27 (10)</w:t>
            </w:r>
          </w:p>
        </w:tc>
      </w:tr>
      <w:tr>
        <w:tc>
          <w:tcPr>
            <w:tcW w:type="dxa" w:w="5783"/>
            <w:tcBorders>
              <w:top w:val="single" w:sz="4" w:color="D9D9D9"/>
              <w:left w:val="single" w:sz="4" w:color="D9D9D9"/>
              <w:bottom w:val="single" w:sz="4" w:color="D9D9D9"/>
              <w:right w:val="single" w:sz="4" w:color="D9D9D9"/>
            </w:tcBorders>
            <w:shd w:fill="FFFFFF"/>
          </w:tcPr>
          <w:p>
            <w:pPr>
              <w:spacing w:after="80" w:before="80"/>
            </w:pPr>
            <w:r>
              <w:rPr>
                <w:b w:val="0"/>
                <w:sz w:val="18"/>
              </w:rPr>
              <w:t>5. Tatsache oder meine Deutung</w:t>
            </w:r>
          </w:p>
        </w:tc>
        <w:tc>
          <w:tcPr>
            <w:tcW w:type="dxa" w:w="2041"/>
            <w:tcBorders>
              <w:top w:val="single" w:sz="4" w:color="D9D9D9"/>
              <w:left w:val="single" w:sz="4" w:color="D9D9D9"/>
              <w:bottom w:val="single" w:sz="4" w:color="D9D9D9"/>
              <w:right w:val="single" w:sz="4" w:color="D9D9D9"/>
            </w:tcBorders>
            <w:shd w:fill="FFFFFF"/>
          </w:tcPr>
          <w:p>
            <w:pPr>
              <w:spacing w:after="80" w:before="80"/>
            </w:pPr>
            <w:r>
              <w:rPr>
                <w:b w:val="0"/>
                <w:sz w:val="18"/>
              </w:rPr>
              <w:t>22–29 (7)</w:t>
            </w:r>
          </w:p>
        </w:tc>
        <w:tc>
          <w:tcPr>
            <w:tcW w:type="dxa" w:w="2041"/>
            <w:tcBorders>
              <w:top w:val="single" w:sz="4" w:color="D9D9D9"/>
              <w:left w:val="single" w:sz="4" w:color="D9D9D9"/>
              <w:bottom w:val="single" w:sz="4" w:color="D9D9D9"/>
              <w:right w:val="single" w:sz="4" w:color="D9D9D9"/>
            </w:tcBorders>
            <w:shd w:fill="FFFFFF"/>
          </w:tcPr>
          <w:p>
            <w:pPr>
              <w:spacing w:after="80" w:before="80"/>
            </w:pPr>
            <w:r>
              <w:rPr>
                <w:b w:val="0"/>
                <w:sz w:val="18"/>
              </w:rPr>
              <w:t>27–35 (8)</w:t>
            </w:r>
          </w:p>
        </w:tc>
      </w:tr>
      <w:tr>
        <w:tc>
          <w:tcPr>
            <w:tcW w:type="dxa" w:w="5783"/>
            <w:tcBorders>
              <w:top w:val="single" w:sz="4" w:color="D9D9D9"/>
              <w:left w:val="single" w:sz="4" w:color="D9D9D9"/>
              <w:bottom w:val="single" w:sz="4" w:color="D9D9D9"/>
              <w:right w:val="single" w:sz="4" w:color="D9D9D9"/>
            </w:tcBorders>
            <w:shd w:fill="F6F7F8"/>
          </w:tcPr>
          <w:p>
            <w:pPr>
              <w:spacing w:after="80" w:before="80"/>
            </w:pPr>
            <w:r>
              <w:rPr>
                <w:b w:val="0"/>
                <w:sz w:val="18"/>
              </w:rPr>
              <w:t>6. Zwei Minuten Aufmerksamkeit</w:t>
            </w:r>
          </w:p>
        </w:tc>
        <w:tc>
          <w:tcPr>
            <w:tcW w:type="dxa" w:w="2041"/>
            <w:tcBorders>
              <w:top w:val="single" w:sz="4" w:color="D9D9D9"/>
              <w:left w:val="single" w:sz="4" w:color="D9D9D9"/>
              <w:bottom w:val="single" w:sz="4" w:color="D9D9D9"/>
              <w:right w:val="single" w:sz="4" w:color="D9D9D9"/>
            </w:tcBorders>
            <w:shd w:fill="F6F7F8"/>
          </w:tcPr>
          <w:p>
            <w:pPr>
              <w:spacing w:after="80" w:before="80"/>
            </w:pPr>
            <w:r>
              <w:rPr>
                <w:b w:val="0"/>
                <w:sz w:val="18"/>
              </w:rPr>
              <w:t>29–39 (10)</w:t>
            </w:r>
          </w:p>
        </w:tc>
        <w:tc>
          <w:tcPr>
            <w:tcW w:type="dxa" w:w="2041"/>
            <w:tcBorders>
              <w:top w:val="single" w:sz="4" w:color="D9D9D9"/>
              <w:left w:val="single" w:sz="4" w:color="D9D9D9"/>
              <w:bottom w:val="single" w:sz="4" w:color="D9D9D9"/>
              <w:right w:val="single" w:sz="4" w:color="D9D9D9"/>
            </w:tcBorders>
            <w:shd w:fill="F6F7F8"/>
          </w:tcPr>
          <w:p>
            <w:pPr>
              <w:spacing w:after="80" w:before="80"/>
            </w:pPr>
            <w:r>
              <w:rPr>
                <w:b w:val="0"/>
                <w:sz w:val="18"/>
              </w:rPr>
              <w:t>35–49 (14)</w:t>
            </w:r>
          </w:p>
        </w:tc>
      </w:tr>
      <w:tr>
        <w:tc>
          <w:tcPr>
            <w:tcW w:type="dxa" w:w="5783"/>
            <w:tcBorders>
              <w:top w:val="single" w:sz="4" w:color="D9D9D9"/>
              <w:left w:val="single" w:sz="4" w:color="D9D9D9"/>
              <w:bottom w:val="single" w:sz="4" w:color="D9D9D9"/>
              <w:right w:val="single" w:sz="4" w:color="D9D9D9"/>
            </w:tcBorders>
            <w:shd w:fill="FFFFFF"/>
          </w:tcPr>
          <w:p>
            <w:pPr>
              <w:spacing w:after="80" w:before="80"/>
            </w:pPr>
            <w:r>
              <w:rPr>
                <w:b w:val="0"/>
                <w:sz w:val="18"/>
              </w:rPr>
              <w:t>7. Derselbe Abend noch einmal</w:t>
            </w:r>
          </w:p>
        </w:tc>
        <w:tc>
          <w:tcPr>
            <w:tcW w:type="dxa" w:w="2041"/>
            <w:tcBorders>
              <w:top w:val="single" w:sz="4" w:color="D9D9D9"/>
              <w:left w:val="single" w:sz="4" w:color="D9D9D9"/>
              <w:bottom w:val="single" w:sz="4" w:color="D9D9D9"/>
              <w:right w:val="single" w:sz="4" w:color="D9D9D9"/>
            </w:tcBorders>
            <w:shd w:fill="FFFFFF"/>
          </w:tcPr>
          <w:p>
            <w:pPr>
              <w:spacing w:after="80" w:before="80"/>
            </w:pPr>
            <w:r>
              <w:rPr>
                <w:b w:val="0"/>
                <w:sz w:val="18"/>
              </w:rPr>
              <w:t>39–47 (8)</w:t>
            </w:r>
          </w:p>
        </w:tc>
        <w:tc>
          <w:tcPr>
            <w:tcW w:type="dxa" w:w="2041"/>
            <w:tcBorders>
              <w:top w:val="single" w:sz="4" w:color="D9D9D9"/>
              <w:left w:val="single" w:sz="4" w:color="D9D9D9"/>
              <w:bottom w:val="single" w:sz="4" w:color="D9D9D9"/>
              <w:right w:val="single" w:sz="4" w:color="D9D9D9"/>
            </w:tcBorders>
            <w:shd w:fill="FFFFFF"/>
          </w:tcPr>
          <w:p>
            <w:pPr>
              <w:spacing w:after="80" w:before="80"/>
            </w:pPr>
            <w:r>
              <w:rPr>
                <w:b w:val="0"/>
                <w:sz w:val="18"/>
              </w:rPr>
              <w:t>49–59 (10)</w:t>
            </w:r>
          </w:p>
        </w:tc>
      </w:tr>
      <w:tr>
        <w:tc>
          <w:tcPr>
            <w:tcW w:type="dxa" w:w="5783"/>
            <w:tcBorders>
              <w:top w:val="single" w:sz="4" w:color="D9D9D9"/>
              <w:left w:val="single" w:sz="4" w:color="D9D9D9"/>
              <w:bottom w:val="single" w:sz="4" w:color="D9D9D9"/>
              <w:right w:val="single" w:sz="4" w:color="D9D9D9"/>
            </w:tcBorders>
            <w:shd w:fill="F6F7F8"/>
          </w:tcPr>
          <w:p>
            <w:pPr>
              <w:spacing w:after="80" w:before="80"/>
            </w:pPr>
            <w:r>
              <w:rPr>
                <w:b w:val="0"/>
                <w:sz w:val="18"/>
              </w:rPr>
              <w:t>8. Pause mit Rückkehr</w:t>
            </w:r>
          </w:p>
        </w:tc>
        <w:tc>
          <w:tcPr>
            <w:tcW w:type="dxa" w:w="2041"/>
            <w:tcBorders>
              <w:top w:val="single" w:sz="4" w:color="D9D9D9"/>
              <w:left w:val="single" w:sz="4" w:color="D9D9D9"/>
              <w:bottom w:val="single" w:sz="4" w:color="D9D9D9"/>
              <w:right w:val="single" w:sz="4" w:color="D9D9D9"/>
            </w:tcBorders>
            <w:shd w:fill="F6F7F8"/>
          </w:tcPr>
          <w:p>
            <w:pPr>
              <w:spacing w:after="80" w:before="80"/>
            </w:pPr>
            <w:r>
              <w:rPr>
                <w:b w:val="0"/>
                <w:sz w:val="18"/>
              </w:rPr>
              <w:t>47–52 (5)</w:t>
            </w:r>
          </w:p>
        </w:tc>
        <w:tc>
          <w:tcPr>
            <w:tcW w:type="dxa" w:w="2041"/>
            <w:tcBorders>
              <w:top w:val="single" w:sz="4" w:color="D9D9D9"/>
              <w:left w:val="single" w:sz="4" w:color="D9D9D9"/>
              <w:bottom w:val="single" w:sz="4" w:color="D9D9D9"/>
              <w:right w:val="single" w:sz="4" w:color="D9D9D9"/>
            </w:tcBorders>
            <w:shd w:fill="F6F7F8"/>
          </w:tcPr>
          <w:p>
            <w:pPr>
              <w:spacing w:after="80" w:before="80"/>
            </w:pPr>
            <w:r>
              <w:rPr>
                <w:b w:val="0"/>
                <w:sz w:val="18"/>
              </w:rPr>
              <w:t>59–66 (7)</w:t>
            </w:r>
          </w:p>
        </w:tc>
      </w:tr>
      <w:tr>
        <w:tc>
          <w:tcPr>
            <w:tcW w:type="dxa" w:w="5783"/>
            <w:tcBorders>
              <w:top w:val="single" w:sz="4" w:color="D9D9D9"/>
              <w:left w:val="single" w:sz="4" w:color="D9D9D9"/>
              <w:bottom w:val="single" w:sz="4" w:color="D9D9D9"/>
              <w:right w:val="single" w:sz="4" w:color="D9D9D9"/>
            </w:tcBorders>
            <w:shd w:fill="FFFFFF"/>
          </w:tcPr>
          <w:p>
            <w:pPr>
              <w:spacing w:after="80" w:before="80"/>
            </w:pPr>
            <w:r>
              <w:rPr>
                <w:b w:val="0"/>
                <w:sz w:val="18"/>
              </w:rPr>
              <w:t>9. Ein Gespräch in dieser Woche</w:t>
            </w:r>
          </w:p>
        </w:tc>
        <w:tc>
          <w:tcPr>
            <w:tcW w:type="dxa" w:w="2041"/>
            <w:tcBorders>
              <w:top w:val="single" w:sz="4" w:color="D9D9D9"/>
              <w:left w:val="single" w:sz="4" w:color="D9D9D9"/>
              <w:bottom w:val="single" w:sz="4" w:color="D9D9D9"/>
              <w:right w:val="single" w:sz="4" w:color="D9D9D9"/>
            </w:tcBorders>
            <w:shd w:fill="FFFFFF"/>
          </w:tcPr>
          <w:p>
            <w:pPr>
              <w:spacing w:after="80" w:before="80"/>
            </w:pPr>
            <w:r>
              <w:rPr>
                <w:b w:val="0"/>
                <w:sz w:val="18"/>
              </w:rPr>
              <w:t>52–57 (5)</w:t>
            </w:r>
          </w:p>
        </w:tc>
        <w:tc>
          <w:tcPr>
            <w:tcW w:type="dxa" w:w="2041"/>
            <w:tcBorders>
              <w:top w:val="single" w:sz="4" w:color="D9D9D9"/>
              <w:left w:val="single" w:sz="4" w:color="D9D9D9"/>
              <w:bottom w:val="single" w:sz="4" w:color="D9D9D9"/>
              <w:right w:val="single" w:sz="4" w:color="D9D9D9"/>
            </w:tcBorders>
            <w:shd w:fill="FFFFFF"/>
          </w:tcPr>
          <w:p>
            <w:pPr>
              <w:spacing w:after="80" w:before="80"/>
            </w:pPr>
            <w:r>
              <w:rPr>
                <w:b w:val="0"/>
                <w:sz w:val="18"/>
              </w:rPr>
              <w:t>66–72 (6)</w:t>
            </w:r>
          </w:p>
        </w:tc>
      </w:tr>
      <w:tr>
        <w:tc>
          <w:tcPr>
            <w:tcW w:type="dxa" w:w="5783"/>
            <w:tcBorders>
              <w:top w:val="single" w:sz="4" w:color="D9D9D9"/>
              <w:left w:val="single" w:sz="4" w:color="D9D9D9"/>
              <w:bottom w:val="single" w:sz="4" w:color="D9D9D9"/>
              <w:right w:val="single" w:sz="4" w:color="D9D9D9"/>
            </w:tcBorders>
            <w:shd w:fill="F6F7F8"/>
          </w:tcPr>
          <w:p>
            <w:pPr>
              <w:spacing w:after="80" w:before="80"/>
            </w:pPr>
            <w:r>
              <w:rPr>
                <w:b w:val="0"/>
                <w:sz w:val="18"/>
              </w:rPr>
              <w:t>10. Was ich künftig besser hören möchte</w:t>
            </w:r>
          </w:p>
        </w:tc>
        <w:tc>
          <w:tcPr>
            <w:tcW w:type="dxa" w:w="2041"/>
            <w:tcBorders>
              <w:top w:val="single" w:sz="4" w:color="D9D9D9"/>
              <w:left w:val="single" w:sz="4" w:color="D9D9D9"/>
              <w:bottom w:val="single" w:sz="4" w:color="D9D9D9"/>
              <w:right w:val="single" w:sz="4" w:color="D9D9D9"/>
            </w:tcBorders>
            <w:shd w:fill="F6F7F8"/>
          </w:tcPr>
          <w:p>
            <w:pPr>
              <w:spacing w:after="80" w:before="80"/>
            </w:pPr>
            <w:r>
              <w:rPr>
                <w:b w:val="0"/>
                <w:sz w:val="18"/>
              </w:rPr>
              <w:t>57–60 (3)</w:t>
            </w:r>
          </w:p>
        </w:tc>
        <w:tc>
          <w:tcPr>
            <w:tcW w:type="dxa" w:w="2041"/>
            <w:tcBorders>
              <w:top w:val="single" w:sz="4" w:color="D9D9D9"/>
              <w:left w:val="single" w:sz="4" w:color="D9D9D9"/>
              <w:bottom w:val="single" w:sz="4" w:color="D9D9D9"/>
              <w:right w:val="single" w:sz="4" w:color="D9D9D9"/>
            </w:tcBorders>
            <w:shd w:fill="F6F7F8"/>
          </w:tcPr>
          <w:p>
            <w:pPr>
              <w:spacing w:after="80" w:before="80"/>
            </w:pPr>
            <w:r>
              <w:rPr>
                <w:b w:val="0"/>
                <w:sz w:val="18"/>
              </w:rPr>
              <w:t>72–75 (3)</w:t>
            </w:r>
          </w:p>
        </w:tc>
      </w:tr>
      <w:tr>
        <w:tc>
          <w:tcPr>
            <w:tcW w:type="dxa" w:w="5783"/>
            <w:tcBorders>
              <w:top w:val="single" w:sz="4" w:color="D9D9D9"/>
              <w:left w:val="single" w:sz="4" w:color="D9D9D9"/>
              <w:bottom w:val="single" w:sz="4" w:color="D9D9D9"/>
              <w:right w:val="single" w:sz="4" w:color="D9D9D9"/>
            </w:tcBorders>
            <w:shd w:fill="FFFFFF"/>
          </w:tcPr>
          <w:p>
            <w:pPr>
              <w:spacing w:after="80" w:before="80"/>
            </w:pPr>
            <w:r>
              <w:rPr>
                <w:b w:val="0"/>
                <w:sz w:val="18"/>
              </w:rPr>
              <w:t>Gesamt</w:t>
            </w:r>
          </w:p>
        </w:tc>
        <w:tc>
          <w:tcPr>
            <w:tcW w:type="dxa" w:w="2041"/>
            <w:tcBorders>
              <w:top w:val="single" w:sz="4" w:color="D9D9D9"/>
              <w:left w:val="single" w:sz="4" w:color="D9D9D9"/>
              <w:bottom w:val="single" w:sz="4" w:color="D9D9D9"/>
              <w:right w:val="single" w:sz="4" w:color="D9D9D9"/>
            </w:tcBorders>
            <w:shd w:fill="FFFFFF"/>
          </w:tcPr>
          <w:p>
            <w:pPr>
              <w:spacing w:after="80" w:before="80"/>
            </w:pPr>
            <w:r>
              <w:rPr>
                <w:b w:val="0"/>
                <w:sz w:val="18"/>
              </w:rPr>
              <w:t>60</w:t>
            </w:r>
          </w:p>
        </w:tc>
        <w:tc>
          <w:tcPr>
            <w:tcW w:type="dxa" w:w="2041"/>
            <w:tcBorders>
              <w:top w:val="single" w:sz="4" w:color="D9D9D9"/>
              <w:left w:val="single" w:sz="4" w:color="D9D9D9"/>
              <w:bottom w:val="single" w:sz="4" w:color="D9D9D9"/>
              <w:right w:val="single" w:sz="4" w:color="D9D9D9"/>
            </w:tcBorders>
            <w:shd w:fill="FFFFFF"/>
          </w:tcPr>
          <w:p>
            <w:pPr>
              <w:spacing w:after="80" w:before="80"/>
            </w:pPr>
            <w:r>
              <w:rPr>
                <w:b w:val="0"/>
                <w:sz w:val="18"/>
              </w:rPr>
              <w:t>75</w:t>
            </w:r>
          </w:p>
        </w:tc>
      </w:tr>
    </w:tbl>
    <w:p/>
    <w:p>
      <w:pPr>
        <w:jc w:val="right"/>
      </w:pPr>
      <w:r>
        <w:drawing>
          <wp:inline xmlns:a="http://schemas.openxmlformats.org/drawingml/2006/main" xmlns:pic="http://schemas.openxmlformats.org/drawingml/2006/picture">
            <wp:extent cx="3657600" cy="2058494"/>
            <wp:docPr id="2" name="Picture 2" descr="Illustration 08"/>
            <wp:cNvGraphicFramePr>
              <a:graphicFrameLocks noChangeAspect="1"/>
            </wp:cNvGraphicFramePr>
            <a:graphic>
              <a:graphicData uri="http://schemas.openxmlformats.org/drawingml/2006/picture">
                <pic:pic>
                  <pic:nvPicPr>
                    <pic:cNvPr id="0" name="08.png"/>
                    <pic:cNvPicPr/>
                  </pic:nvPicPr>
                  <pic:blipFill>
                    <a:blip r:embed="rId11"/>
                    <a:stretch>
                      <a:fillRect/>
                    </a:stretch>
                  </pic:blipFill>
                  <pic:spPr>
                    <a:xfrm>
                      <a:off x="0" y="0"/>
                      <a:ext cx="3657600" cy="2058494"/>
                    </a:xfrm>
                    <a:prstGeom prst="rect"/>
                  </pic:spPr>
                </pic:pic>
              </a:graphicData>
            </a:graphic>
          </wp:inline>
        </w:drawing>
      </w:r>
    </w:p>
    <w:p>
      <w:r>
        <w:br w:type="page"/>
      </w:r>
    </w:p>
    <w:p>
      <w:pPr>
        <w:pStyle w:val="Heading1"/>
      </w:pPr>
      <w:r>
        <w:t>Biblische Grundlage</w:t>
      </w:r>
    </w:p>
    <w:p>
      <w:r>
        <w:t>Jakobus 1,19–20; Epheser 4,25–32. Elberfelder 1905.</w:t>
      </w:r>
    </w:p>
    <w:p>
      <w:pPr>
        <w:pStyle w:val="Heading2"/>
      </w:pPr>
      <w:r>
        <w:t>Jakobus 1,19–20</w:t>
      </w:r>
    </w:p>
    <w:p>
      <w:r>
        <w:t>19 Daher, meine geliebten Brüder, sei jeder Mensch schnell zum Hören, langsam zum Reden, langsam zum Zorn.</w:t>
      </w:r>
    </w:p>
    <w:p>
      <w:r>
        <w:t>20 Denn eines Mannes Zorn wirkt nicht Gottes Gerechtigkeit.</w:t>
      </w:r>
    </w:p>
    <w:p>
      <w:pPr>
        <w:pStyle w:val="Heading2"/>
      </w:pPr>
      <w:r>
        <w:t>Epheser 4,25–32</w:t>
      </w:r>
    </w:p>
    <w:p>
      <w:r>
        <w:t>25 Deshalb, da ihr die Lüge abgelegt habt, redet Wahrheit, ein jeder mit seinem Nächsten, denn wir sind Glieder voneinander.</w:t>
      </w:r>
    </w:p>
    <w:p>
      <w:r>
        <w:t>26 Zürnet, und sündiget nicht. Die Sonne gehe nicht unter über eurem Zorn,</w:t>
      </w:r>
    </w:p>
    <w:p>
      <w:r>
        <w:t>27 und gebet nicht Raum dem Teufel.</w:t>
      </w:r>
    </w:p>
    <w:p>
      <w:r>
        <w:t>28 Wer gestohlen hat, stehle nicht mehr, sondern arbeite vielmehr und wirke mit seinen Händen das Gute, auf daß er dem Dürftigen mitzuteilen habe.</w:t>
      </w:r>
    </w:p>
    <w:p>
      <w:r>
        <w:t>29 Kein faules Wort gehe aus eurem Munde, sondern das irgend gut ist zur notwendigen Erbauung, auf daß es den Hörenden Gnade darreiche.</w:t>
      </w:r>
    </w:p>
    <w:p>
      <w:r>
        <w:t>30 Und betrübet nicht den Heiligen Geist Gottes, durch welchen ihr versiegelt worden seid auf den Tag der Erlösung.</w:t>
      </w:r>
    </w:p>
    <w:p>
      <w:r>
        <w:t>31 Alle Bitterkeit und Wut und Zorn und Geschrei und Lästerung sei von euch weggetan, samt aller Bosheit.</w:t>
      </w:r>
    </w:p>
    <w:p>
      <w:r>
        <w:t>32 Seid aber gegeneinander gütig, mitleidig, einander vergebend, gleichwie auch Gott in Christo euch vergeben hat.</w:t>
      </w:r>
    </w:p>
    <w:p>
      <w:r>
        <w:t>Beide Briefe richten sich an die christliche Gemeinde, nicht nur an Ehepaare. Jakobus verbindet das Hören mit Zurückhaltung beim Reden und im Zorn. Paulus beschreibt das neue Leben in Christus: Wahrhaftigkeit, Arbeit, Hilfe, gute Worte und Vergebung. Wir wenden diese Weisungen auf Alltagsgespräche an. Wiedergeben, Nachfragen und die Formulierung einer Bitte sind Lernübungen, keine Bibelzitate.</w:t>
      </w:r>
    </w:p>
    <w:p>
      <w:r>
        <w:br w:type="page"/>
      </w:r>
    </w:p>
    <w:p>
      <w:pPr>
        <w:pStyle w:val="Heading1"/>
      </w:pPr>
      <w:r>
        <w:t>01  Einander zuhören</w:t>
      </w:r>
    </w:p>
    <w:p>
      <w:pPr>
        <w:jc w:val="right"/>
      </w:pPr>
      <w:r>
        <w:drawing>
          <wp:inline xmlns:a="http://schemas.openxmlformats.org/drawingml/2006/main" xmlns:pic="http://schemas.openxmlformats.org/drawingml/2006/picture">
            <wp:extent cx="3200400" cy="1801182"/>
            <wp:docPr id="3" name="Picture 3" descr="Illustration 01"/>
            <wp:cNvGraphicFramePr>
              <a:graphicFrameLocks noChangeAspect="1"/>
            </wp:cNvGraphicFramePr>
            <a:graphic>
              <a:graphicData uri="http://schemas.openxmlformats.org/drawingml/2006/picture">
                <pic:pic>
                  <pic:nvPicPr>
                    <pic:cNvPr id="0" name="01.png"/>
                    <pic:cNvPicPr/>
                  </pic:nvPicPr>
                  <pic:blipFill>
                    <a:blip r:embed="rId10"/>
                    <a:stretch>
                      <a:fillRect/>
                    </a:stretch>
                  </pic:blipFill>
                  <pic:spPr>
                    <a:xfrm>
                      <a:off x="0" y="0"/>
                      <a:ext cx="3200400" cy="1801182"/>
                    </a:xfrm>
                    <a:prstGeom prst="rect"/>
                  </pic:spPr>
                </pic:pic>
              </a:graphicData>
            </a:graphic>
          </wp:inline>
        </w:drawing>
      </w:r>
    </w:p>
    <w:p>
      <w:pPr>
        <w:pStyle w:val="Heading2"/>
      </w:pPr>
      <w:r>
        <w:t>Unterricht für Erwachsene — 3 Min</w:t>
      </w:r>
    </w:p>
    <w:p>
      <w:r>
        <w:t>Leitung: „Heute suchen wir den Moment, in dem wir bereits antworten, obwohl wir den anderen noch nicht verstanden haben. Wählt ein Hindernis auf dem Bildschirm.“ 30 Sekunden für die Wahl, eine Minute für zwei kurze Begründungen. Stimmen ohne Bewertung der Personen notieren. „Am Ende prüfen wir, was wir anders machen können. Persönliche Geschichten sind freiwillig.“ Übergang: „Schauen wir uns einen ganz gewöhnlichen Abend an.“</w:t>
      </w:r>
    </w:p>
    <w:p>
      <w:pPr>
        <w:pStyle w:val="Heading2"/>
      </w:pPr>
      <w:r>
        <w:t>Praktischer Abend für Ehepaare — 4 Min</w:t>
      </w:r>
    </w:p>
    <w:p>
      <w:r>
        <w:t>Leitung: „Wählt ein Hindernis, das ihr vor allem bei euch selbst bemerkt.“ Beide markieren ihre Antwort einzeln. Dann ergänzt jeder in 30 Sekunden: „Heute möchte ich besser lernen …“ Der andere hört ohne Korrektur zu. „Wir vergleichen nicht, wer schlechter zuhört. Jeder probiert heute eine neue Gesprächsweise aus.“ In der Gruppe nennen Freiwillige nur ihr eigenes Ziel. Bei einem Paar fragt die Leitung beide nacheinander.</w:t>
      </w:r>
    </w:p>
    <w:p>
      <w:pPr>
        <w:pStyle w:val="Heading2"/>
      </w:pPr>
      <w:r>
        <w:t>Ergebnis der Phase</w:t>
      </w:r>
    </w:p>
    <w:p>
      <w:r>
        <w:t>Erste Einschätzung und persönliches Ziel.</w:t>
      </w:r>
    </w:p>
    <w:p>
      <w:r>
        <w:br w:type="page"/>
      </w:r>
    </w:p>
    <w:p>
      <w:pPr>
        <w:pStyle w:val="Heading1"/>
      </w:pPr>
      <w:r>
        <w:t>02  Ein Abend und zwei Bedeutungen</w:t>
      </w:r>
    </w:p>
    <w:p>
      <w:pPr>
        <w:jc w:val="right"/>
      </w:pPr>
      <w:r>
        <w:drawing>
          <wp:inline xmlns:a="http://schemas.openxmlformats.org/drawingml/2006/main" xmlns:pic="http://schemas.openxmlformats.org/drawingml/2006/picture">
            <wp:extent cx="3200400" cy="1801182"/>
            <wp:docPr id="4" name="Picture 4" descr="Illustration 02"/>
            <wp:cNvGraphicFramePr>
              <a:graphicFrameLocks noChangeAspect="1"/>
            </wp:cNvGraphicFramePr>
            <a:graphic>
              <a:graphicData uri="http://schemas.openxmlformats.org/drawingml/2006/picture">
                <pic:pic>
                  <pic:nvPicPr>
                    <pic:cNvPr id="0" name="02.png"/>
                    <pic:cNvPicPr/>
                  </pic:nvPicPr>
                  <pic:blipFill>
                    <a:blip r:embed="rId12"/>
                    <a:stretch>
                      <a:fillRect/>
                    </a:stretch>
                  </pic:blipFill>
                  <pic:spPr>
                    <a:xfrm>
                      <a:off x="0" y="0"/>
                      <a:ext cx="3200400" cy="1801182"/>
                    </a:xfrm>
                    <a:prstGeom prst="rect"/>
                  </pic:spPr>
                </pic:pic>
              </a:graphicData>
            </a:graphic>
          </wp:inline>
        </w:drawing>
      </w:r>
    </w:p>
    <w:p>
      <w:pPr>
        <w:pStyle w:val="Heading2"/>
      </w:pPr>
      <w:r>
        <w:t>Unterricht für Erwachsene — 6 Min</w:t>
      </w:r>
    </w:p>
    <w:p>
      <w:r>
        <w:t>Zwei Freiwillige erhalten die Rollen von Blatt 1. Leitung: „Lest nur die Sätze. Die Hintergründe erfahren wir später.“ Anna: „Du bist schon wieder am Handy.“ Michael: „Ich erledige gerade etwas.“ Anna: „Mit dir kann man einfach nicht reden.“ Michael: „Geht es auch ohne Vorwürfe?“ Nach der einminütigen Szene eine Minute Zeit: einen genauen Satz und eine Vermutung über seine Bedeutung getrennt notieren. Fragen: „Was könnte jeder gehört haben? Welche Worte habt ihr gedanklich ergänzt?“ Verschiedene Deutungen stehen lassen. Zum Schluss Gesagtes und eigene Interpretation unterscheiden.</w:t>
      </w:r>
    </w:p>
    <w:p>
      <w:pPr>
        <w:pStyle w:val="Heading2"/>
      </w:pPr>
      <w:r>
        <w:t>Praktischer Abend für Ehepaare — 7 Min</w:t>
      </w:r>
    </w:p>
    <w:p>
      <w:r>
        <w:t>Jedes Paar erhält Blatt 1. Anna: „Du bist schon wieder am Handy.“ Michael: „Ich erledige gerade etwas.“ Anna: „Mit dir kann man einfach nicht reden.“ Michael: „Geht es auch ohne Vorwürfe?“ Dies sind erfundene Figuren. Danach sagen beide nacheinander, was ihre Figur gehört haben könnte. Rollen wechseln und erneut lesen. Leitung: „Hat sich eure Deutung verändert, als ihr die andere Seite übernommen habt?“ Zwei Minuten zu zweit sprechen. Im Plenum nur eine Beobachtung zu den Figuren nennen. Die Hintergrundkarten bleiben noch verdeckt.</w:t>
      </w:r>
    </w:p>
    <w:p>
      <w:pPr>
        <w:pStyle w:val="Heading2"/>
      </w:pPr>
      <w:r>
        <w:t>Ergebnis der Phase</w:t>
      </w:r>
    </w:p>
    <w:p>
      <w:r>
        <w:t>Wörtlicher Satz und Vermutung sind getrennt.</w:t>
      </w:r>
    </w:p>
    <w:p>
      <w:r>
        <w:br w:type="page"/>
      </w:r>
    </w:p>
    <w:p>
      <w:pPr>
        <w:pStyle w:val="Heading1"/>
      </w:pPr>
      <w:r>
        <w:t>03  Die Antwort steht schon fest</w:t>
      </w:r>
    </w:p>
    <w:p>
      <w:pPr>
        <w:jc w:val="right"/>
      </w:pPr>
      <w:r>
        <w:drawing>
          <wp:inline xmlns:a="http://schemas.openxmlformats.org/drawingml/2006/main" xmlns:pic="http://schemas.openxmlformats.org/drawingml/2006/picture">
            <wp:extent cx="3200400" cy="1801182"/>
            <wp:docPr id="5" name="Picture 5" descr="Illustration 03"/>
            <wp:cNvGraphicFramePr>
              <a:graphicFrameLocks noChangeAspect="1"/>
            </wp:cNvGraphicFramePr>
            <a:graphic>
              <a:graphicData uri="http://schemas.openxmlformats.org/drawingml/2006/picture">
                <pic:pic>
                  <pic:nvPicPr>
                    <pic:cNvPr id="0" name="03.png"/>
                    <pic:cNvPicPr/>
                  </pic:nvPicPr>
                  <pic:blipFill>
                    <a:blip r:embed="rId13"/>
                    <a:stretch>
                      <a:fillRect/>
                    </a:stretch>
                  </pic:blipFill>
                  <pic:spPr>
                    <a:xfrm>
                      <a:off x="0" y="0"/>
                      <a:ext cx="3200400" cy="1801182"/>
                    </a:xfrm>
                    <a:prstGeom prst="rect"/>
                  </pic:spPr>
                </pic:pic>
              </a:graphicData>
            </a:graphic>
          </wp:inline>
        </w:drawing>
      </w:r>
    </w:p>
    <w:p>
      <w:pPr>
        <w:pStyle w:val="Heading2"/>
      </w:pPr>
      <w:r>
        <w:t>Unterricht für Erwachsene — 5 Min</w:t>
      </w:r>
    </w:p>
    <w:p>
      <w:r>
        <w:t>Drei Antworten vorlesen: A „Dann geh doch früher schlafen“; B „Glaubst du, ich bin nicht müde?“; C „Soll ich dir gerade zuhören, oder brauchst du Hilfe?“ Abstimmen: Welche Antwort hilft, das Anliegen zu verstehen? Eine Minute in Dreiergruppen, danach zwei Wortmeldungen. Auswertung: C ermöglicht eine Klärung. A könnte ein hilfreicher Rat sein, doch der Bedarf ist unklar. B macht daraus einen Wettbewerb. Leitung: „Ein Rat kann gut sein. Entscheidend ist auch, wann wir ihn anbieten.“ Eine weitere offene Frage formulieren lassen.</w:t>
      </w:r>
    </w:p>
    <w:p>
      <w:pPr>
        <w:pStyle w:val="Heading2"/>
      </w:pPr>
      <w:r>
        <w:t>Praktischer Abend für Ehepaare — 6 Min</w:t>
      </w:r>
    </w:p>
    <w:p>
      <w:r>
        <w:t>Beide wählen zunächst einzeln und vergleichen ihre Gründe. Antworten: A „Dann geh doch früher schlafen“; B „Glaubst du, ich bin nicht müde?“; C „Soll ich dir gerade zuhören, oder brauchst du Hilfe?“ C ermöglicht eine Klärung, A gibt schon einen Rat, B macht daraus einen Wettbewerb. Dann fragt jeder: „Woran kann ich erkennen, dass du dich einfach aussprechen möchtest?“ Jeder hat eine Minute. Wer es noch nicht weiß, kann einen Satz ausprobieren: „Ich brauche fünf Minuten, in denen du mir zuhörst.“ Abschlussfrage: „Wie können wir klären, ob der Zeitpunkt für das Gespräch passt?“</w:t>
      </w:r>
    </w:p>
    <w:p>
      <w:pPr>
        <w:pStyle w:val="Heading2"/>
      </w:pPr>
      <w:r>
        <w:t>Ergebnis der Phase</w:t>
      </w:r>
    </w:p>
    <w:p>
      <w:r>
        <w:t>Eine Rückfrage statt eines vorschnellen Rates.</w:t>
      </w:r>
    </w:p>
    <w:p>
      <w:r>
        <w:br w:type="page"/>
      </w:r>
    </w:p>
    <w:p>
      <w:pPr>
        <w:pStyle w:val="Heading1"/>
      </w:pPr>
      <w:r>
        <w:t>04  Unsere Worte und der Glaube</w:t>
      </w:r>
    </w:p>
    <w:p>
      <w:pPr>
        <w:jc w:val="right"/>
      </w:pPr>
      <w:r>
        <w:drawing>
          <wp:inline xmlns:a="http://schemas.openxmlformats.org/drawingml/2006/main" xmlns:pic="http://schemas.openxmlformats.org/drawingml/2006/picture">
            <wp:extent cx="3200400" cy="1801182"/>
            <wp:docPr id="6" name="Picture 6" descr="Illustration 04"/>
            <wp:cNvGraphicFramePr>
              <a:graphicFrameLocks noChangeAspect="1"/>
            </wp:cNvGraphicFramePr>
            <a:graphic>
              <a:graphicData uri="http://schemas.openxmlformats.org/drawingml/2006/picture">
                <pic:pic>
                  <pic:nvPicPr>
                    <pic:cNvPr id="0" name="04.png"/>
                    <pic:cNvPicPr/>
                  </pic:nvPicPr>
                  <pic:blipFill>
                    <a:blip r:embed="rId14"/>
                    <a:stretch>
                      <a:fillRect/>
                    </a:stretch>
                  </pic:blipFill>
                  <pic:spPr>
                    <a:xfrm>
                      <a:off x="0" y="0"/>
                      <a:ext cx="3200400" cy="1801182"/>
                    </a:xfrm>
                    <a:prstGeom prst="rect"/>
                  </pic:spPr>
                </pic:pic>
              </a:graphicData>
            </a:graphic>
          </wp:inline>
        </w:drawing>
      </w:r>
    </w:p>
    <w:p>
      <w:pPr>
        <w:pStyle w:val="Heading2"/>
      </w:pPr>
      <w:r>
        <w:t>Unterricht für Erwachsene — 8 Min</w:t>
      </w:r>
    </w:p>
    <w:p>
      <w:r>
        <w:t>Die Leitung liest beide Abschnitte vollständig von der Seite „Biblische Grundlage“ vor, etwa drei Minuten. Erst nach dem Lesen sprechen. Fragen: „Zu welcher Handlung ruft Jakobus auf? Was soll nach Paulus aus unserer Sprache verschwinden und was hinzukommen?“ Zwei Minuten zu zweit: eine passende Textstelle für die Szene suchen. Antworten mit Versangabe sammeln. Orientierung: vor der Antwort hören, wahrhaftig sprechen, Verletzungen nicht mit Zorn rechtfertigen, hilfreiche Worte wählen, gütig sein und vergeben. Den Kontext anhand der Anmerkung erklären. „Welchen eigenen Satz könnte jede Figur ändern?“</w:t>
      </w:r>
    </w:p>
    <w:p>
      <w:pPr>
        <w:pStyle w:val="Heading2"/>
      </w:pPr>
      <w:r>
        <w:t>Praktischer Abend für Ehepaare — 10 Min</w:t>
      </w:r>
    </w:p>
    <w:p>
      <w:r>
        <w:t>Jakobus 1,19–20 und Epheser 4,25–32 aus dem Abschnitt „Biblische Grundlage“ vollständig lesen. Jeder wählt einen Vers für sich und ergänzt: „Für mich bedeutet das …“ Der andere gibt den Sinn wieder, ohne den Vers auf Fehler des Partners anzuwenden. Je zwei Minuten, danach ein kurzer gemeinsamer Gedanke. Leitung: „Paulus spricht von Wahrheit und Güte. Wir dürfen ehrlich über Schmerz sprechen, ohne den anderen herabzusetzen.“ Frage: „Welche eigene Gewohnheit möchte ich überdenken?“ Die Antwort darf privat bleiben.</w:t>
      </w:r>
    </w:p>
    <w:p>
      <w:pPr>
        <w:pStyle w:val="Heading2"/>
      </w:pPr>
      <w:r>
        <w:t>Ergebnis der Phase</w:t>
      </w:r>
    </w:p>
    <w:p>
      <w:r>
        <w:t>Eine konkrete Handlung wird mit einem Bibelvers verbunden.</w:t>
      </w:r>
    </w:p>
    <w:p>
      <w:r>
        <w:br w:type="page"/>
      </w:r>
    </w:p>
    <w:p>
      <w:pPr>
        <w:pStyle w:val="Heading1"/>
      </w:pPr>
      <w:r>
        <w:t>05  Tatsache oder meine Deutung</w:t>
      </w:r>
    </w:p>
    <w:p>
      <w:pPr>
        <w:jc w:val="right"/>
      </w:pPr>
      <w:r>
        <w:drawing>
          <wp:inline xmlns:a="http://schemas.openxmlformats.org/drawingml/2006/main" xmlns:pic="http://schemas.openxmlformats.org/drawingml/2006/picture">
            <wp:extent cx="3200400" cy="1801182"/>
            <wp:docPr id="7" name="Picture 7" descr="Illustration 05"/>
            <wp:cNvGraphicFramePr>
              <a:graphicFrameLocks noChangeAspect="1"/>
            </wp:cNvGraphicFramePr>
            <a:graphic>
              <a:graphicData uri="http://schemas.openxmlformats.org/drawingml/2006/picture">
                <pic:pic>
                  <pic:nvPicPr>
                    <pic:cNvPr id="0" name="05.png"/>
                    <pic:cNvPicPr/>
                  </pic:nvPicPr>
                  <pic:blipFill>
                    <a:blip r:embed="rId15"/>
                    <a:stretch>
                      <a:fillRect/>
                    </a:stretch>
                  </pic:blipFill>
                  <pic:spPr>
                    <a:xfrm>
                      <a:off x="0" y="0"/>
                      <a:ext cx="3200400" cy="1801182"/>
                    </a:xfrm>
                    <a:prstGeom prst="rect"/>
                  </pic:spPr>
                </pic:pic>
              </a:graphicData>
            </a:graphic>
          </wp:inline>
        </w:drawing>
      </w:r>
    </w:p>
    <w:p>
      <w:pPr>
        <w:pStyle w:val="Heading2"/>
      </w:pPr>
      <w:r>
        <w:t>Unterricht für Erwachsene — 7 Min</w:t>
      </w:r>
    </w:p>
    <w:p>
      <w:r>
        <w:t>Die vier Karten von Blatt 3 verteilen. Zwei Minuten lang in Beobachtungen und Vermutungen sortieren. Karten 1 und 3 sind Beobachtungen, 2 und 4 Deutungen der Absicht. Dann Blatt 2 aufdecken: Anna hat eine beunruhigende Nachricht ihrer Schwester erhalten und möchte reden. Michael versucht, vor 20 Uhr ein Dokument abzuschicken. Beide haben das nicht erklärt. „Diese Hintergründe gehören zu unserer Geschichte. Sie erklären die Anspannung, machen scharfe Worte aber nicht hilfreich.“ In zwei Minuten je eine Rückfrage an beide Figuren formulieren. Beispiele: „Ist es dringend?“ und „Ist etwas passiert?“ Abschluss: „Was wisst ihr jetzt zusätzlich?“</w:t>
      </w:r>
    </w:p>
    <w:p>
      <w:pPr>
        <w:pStyle w:val="Heading2"/>
      </w:pPr>
      <w:r>
        <w:t>Praktischer Abend für Ehepaare — 8 Min</w:t>
      </w:r>
    </w:p>
    <w:p>
      <w:r>
        <w:t>Die Karten von Blatt 3 zu zweit sortieren und die Zuordnung besprechen. Die Leitung deckt die beiden Hintergründe von Blatt 2 auf. Jeder wählt eine eigene kürzlich entstandene, wenig belastende Vermutung oder bleibt bei den Figuren. Beobachtung, Vermutung und Rückfrage getrennt aufschreiben. Nur freiwillig teilen. Der Zuhörende muss die Vermutung nicht bestätigen, sondern darf den tatsächlichen Hintergrund erklären. Leitung: „Der Satz ,Ich fühle, dass ich dir egal bin‘ enthält weiterhin eine Deutung. Möglich wäre: ,Ich bin traurig, wenn ich erzähle und du weiter auf den Bildschirm schaust.‘“</w:t>
      </w:r>
    </w:p>
    <w:p>
      <w:pPr>
        <w:pStyle w:val="Heading2"/>
      </w:pPr>
      <w:r>
        <w:t>Ergebnis der Phase</w:t>
      </w:r>
    </w:p>
    <w:p>
      <w:r>
        <w:t>Zwei richtige Kategorien und eine klärende Frage.</w:t>
      </w:r>
    </w:p>
    <w:p>
      <w:r>
        <w:br w:type="page"/>
      </w:r>
    </w:p>
    <w:p>
      <w:pPr>
        <w:pStyle w:val="Heading1"/>
      </w:pPr>
      <w:r>
        <w:t>06  Zwei Minuten Aufmerksamkeit</w:t>
      </w:r>
    </w:p>
    <w:p>
      <w:pPr>
        <w:jc w:val="right"/>
      </w:pPr>
      <w:r>
        <w:drawing>
          <wp:inline xmlns:a="http://schemas.openxmlformats.org/drawingml/2006/main" xmlns:pic="http://schemas.openxmlformats.org/drawingml/2006/picture">
            <wp:extent cx="3200400" cy="1801182"/>
            <wp:docPr id="8" name="Picture 8" descr="Illustration 06"/>
            <wp:cNvGraphicFramePr>
              <a:graphicFrameLocks noChangeAspect="1"/>
            </wp:cNvGraphicFramePr>
            <a:graphic>
              <a:graphicData uri="http://schemas.openxmlformats.org/drawingml/2006/picture">
                <pic:pic>
                  <pic:nvPicPr>
                    <pic:cNvPr id="0" name="06.png"/>
                    <pic:cNvPicPr/>
                  </pic:nvPicPr>
                  <pic:blipFill>
                    <a:blip r:embed="rId16"/>
                    <a:stretch>
                      <a:fillRect/>
                    </a:stretch>
                  </pic:blipFill>
                  <pic:spPr>
                    <a:xfrm>
                      <a:off x="0" y="0"/>
                      <a:ext cx="3200400" cy="1801182"/>
                    </a:xfrm>
                    <a:prstGeom prst="rect"/>
                  </pic:spPr>
                </pic:pic>
              </a:graphicData>
            </a:graphic>
          </wp:inline>
        </w:drawing>
      </w:r>
    </w:p>
    <w:p>
      <w:pPr>
        <w:pStyle w:val="Heading2"/>
      </w:pPr>
      <w:r>
        <w:t>Unterricht für Erwachsene — 10 Min</w:t>
      </w:r>
    </w:p>
    <w:p>
      <w:r>
        <w:t>Blatt 4 verteilen. Eine Minute Erklärung: „Eine Person erzählt zwei Minuten von einer kleinen Schwierigkeit. Die andere hört zu, gibt das Anliegen in einer Minute wieder und stellt eine Frage. Die sprechende Person hat 30 Sekunden für eine Korrektur. Ratschläge nur auf Wunsch.“ Themen: ein ungeklärtes Treffen mit Freunden, eine Unterbrechung durch Kollegen oder ein eigener kleiner Fall. Zwei Runden zu je 3,5 Minuten mit Rollenwechsel. Zwei Minuten Auswertung: „Wann habt ihr euch verstanden gefühlt? Was musste am Wiedergeben korrigiert werden?“ Ein ungenauer Versuch ist ein Anlass zum Nachfragen. Maßstab ist die Bestätigung der sprechenden Person.</w:t>
      </w:r>
    </w:p>
    <w:p>
      <w:pPr>
        <w:pStyle w:val="Heading2"/>
      </w:pPr>
      <w:r>
        <w:t>Praktischer Abend für Ehepaare — 14 Min</w:t>
      </w:r>
    </w:p>
    <w:p>
      <w:r>
        <w:t>Blatt 4. Leitung: „Wählt ein kleines aktuelles Thema, über das ihr beide sprechen möchtet. Ihr dürft bei den erfundenen Figuren bleiben.“ Zwei Minuten für Erklärung und Auswahl. Eine Person spricht zwei Minuten. Die andere gibt in einer Minute wieder, was passiert ist und was wichtig ist, und stellt eine Frage. 30 Sekunden für Klärung, 30 Sekunden für Bestätigung. Nach vier Minuten Rollenwechsel und weitere vier Minuten. Zum Schluss vier Minuten für „Ich habe besser verstanden …“ und „Mir hat geholfen …“. Die Leitung begleitet die Zeit, nicht den Inhalt. Bei Streit zurück zum Satz: „Zuerst möchte ich sicher sein, dass ich dich verstanden habe.“</w:t>
      </w:r>
    </w:p>
    <w:p>
      <w:pPr>
        <w:pStyle w:val="Heading2"/>
      </w:pPr>
      <w:r>
        <w:t>Ergebnis der Phase</w:t>
      </w:r>
    </w:p>
    <w:p>
      <w:r>
        <w:t>Beide haben zugehört und Rückmeldung erhalten.</w:t>
      </w:r>
    </w:p>
    <w:p>
      <w:r>
        <w:br w:type="page"/>
      </w:r>
    </w:p>
    <w:p>
      <w:pPr>
        <w:pStyle w:val="Heading1"/>
      </w:pPr>
      <w:r>
        <w:t>07  Derselbe Abend noch einmal</w:t>
      </w:r>
    </w:p>
    <w:p>
      <w:pPr>
        <w:jc w:val="right"/>
      </w:pPr>
      <w:r>
        <w:drawing>
          <wp:inline xmlns:a="http://schemas.openxmlformats.org/drawingml/2006/main" xmlns:pic="http://schemas.openxmlformats.org/drawingml/2006/picture">
            <wp:extent cx="3200400" cy="1799268"/>
            <wp:docPr id="9" name="Picture 9" descr="Illustration 07"/>
            <wp:cNvGraphicFramePr>
              <a:graphicFrameLocks noChangeAspect="1"/>
            </wp:cNvGraphicFramePr>
            <a:graphic>
              <a:graphicData uri="http://schemas.openxmlformats.org/drawingml/2006/picture">
                <pic:pic>
                  <pic:nvPicPr>
                    <pic:cNvPr id="0" name="07.png"/>
                    <pic:cNvPicPr/>
                  </pic:nvPicPr>
                  <pic:blipFill>
                    <a:blip r:embed="rId17"/>
                    <a:stretch>
                      <a:fillRect/>
                    </a:stretch>
                  </pic:blipFill>
                  <pic:spPr>
                    <a:xfrm>
                      <a:off x="0" y="0"/>
                      <a:ext cx="3200400" cy="1799268"/>
                    </a:xfrm>
                    <a:prstGeom prst="rect"/>
                  </pic:spPr>
                </pic:pic>
              </a:graphicData>
            </a:graphic>
          </wp:inline>
        </w:drawing>
      </w:r>
    </w:p>
    <w:p>
      <w:pPr>
        <w:pStyle w:val="Heading2"/>
      </w:pPr>
      <w:r>
        <w:t>Unterricht für Erwachsene — 8 Min</w:t>
      </w:r>
    </w:p>
    <w:p>
      <w:r>
        <w:t>Dreiergruppen: Anna, Michael und Beobachter. Drei Minuten für einen neuen Dialog mit den bekannten Hintergründen. Dann zwei Minuten spielen. Der Beobachter markiert auf Blatt 4: genaues Wiedergeben, Rückfrage, konkrete Bitte. Zwei Gruppen zeigen je 30 Sekunden, anschließend eine Minute für hilfreiche Formulierungen. Beispiel: „Die Nachricht meiner Schwester macht mir Sorgen. Kannst du mir fünf Minuten zuhören?“ — „Ich möchte verstehen, was passiert ist. Ich muss das Dokument noch abschicken. Passt es in drei Minuten?“ — „Ja, ich warte.“ Andere Absprachen sind möglich. Zustimmung darf dem Gegenüber nicht vorweggenommen werden.</w:t>
      </w:r>
    </w:p>
    <w:p>
      <w:pPr>
        <w:pStyle w:val="Heading2"/>
      </w:pPr>
      <w:r>
        <w:t>Praktischer Abend für Ehepaare — 10 Min</w:t>
      </w:r>
    </w:p>
    <w:p>
      <w:r>
        <w:t>Zunächst zwei Minuten: Jeder schreibt einen Satz der Figuren ohne Vorwurf um. Dann drei Minuten für die neue Szene zu zweit. Die drei Punkte auf Blatt 4 prüfen. Weitere drei Minuten mit Rollenwechsel und einer anderen Variante, in der Warten gerade nicht möglich ist. Beispiel: „Ich muss dir dringend etwas Wichtiges sagen. Kannst du kurz unterbrechen?“ Michael entscheidet, ob er unterbrechen kann, und antwortet ehrlich. Zwei Minuten Auswertung: „Haben wir gemeinsam etwas vereinbart, oder hat einer nur nachgegeben, ohne sein Anliegen zu erklären?“ Im Plenum darf eine hilfreiche Formulierung genannt werden.</w:t>
      </w:r>
    </w:p>
    <w:p>
      <w:pPr>
        <w:pStyle w:val="Heading2"/>
      </w:pPr>
      <w:r>
        <w:t>Ergebnis der Phase</w:t>
      </w:r>
    </w:p>
    <w:p>
      <w:r>
        <w:t>Das Gespräch endet mit einer klaren gemeinsamen Absprache.</w:t>
      </w:r>
    </w:p>
    <w:p>
      <w:r>
        <w:br w:type="page"/>
      </w:r>
    </w:p>
    <w:p>
      <w:pPr>
        <w:pStyle w:val="Heading1"/>
      </w:pPr>
      <w:r>
        <w:t>08  Pause mit Rückkehr</w:t>
      </w:r>
    </w:p>
    <w:p>
      <w:pPr>
        <w:jc w:val="right"/>
      </w:pPr>
      <w:r>
        <w:drawing>
          <wp:inline xmlns:a="http://schemas.openxmlformats.org/drawingml/2006/main" xmlns:pic="http://schemas.openxmlformats.org/drawingml/2006/picture">
            <wp:extent cx="3200400" cy="1801182"/>
            <wp:docPr id="10" name="Picture 10" descr="Illustration 10"/>
            <wp:cNvGraphicFramePr>
              <a:graphicFrameLocks noChangeAspect="1"/>
            </wp:cNvGraphicFramePr>
            <a:graphic>
              <a:graphicData uri="http://schemas.openxmlformats.org/drawingml/2006/picture">
                <pic:pic>
                  <pic:nvPicPr>
                    <pic:cNvPr id="0" name="10.png"/>
                    <pic:cNvPicPr/>
                  </pic:nvPicPr>
                  <pic:blipFill>
                    <a:blip r:embed="rId18"/>
                    <a:stretch>
                      <a:fillRect/>
                    </a:stretch>
                  </pic:blipFill>
                  <pic:spPr>
                    <a:xfrm>
                      <a:off x="0" y="0"/>
                      <a:ext cx="3200400" cy="1801182"/>
                    </a:xfrm>
                    <a:prstGeom prst="rect"/>
                  </pic:spPr>
                </pic:pic>
              </a:graphicData>
            </a:graphic>
          </wp:inline>
        </w:drawing>
      </w:r>
    </w:p>
    <w:p>
      <w:pPr>
        <w:pStyle w:val="Heading2"/>
      </w:pPr>
      <w:r>
        <w:t>Unterricht für Erwachsene — 5 Min</w:t>
      </w:r>
    </w:p>
    <w:p>
      <w:r>
        <w:t>Vorlesen: „Lass mich endlich in Ruhe!“ und „Ich werde gerade scharf. Ich brauche zehn Minuten. Sprechen wir um 20:30 Uhr weiter?“ Unterschiede benennen lassen. Zwei Minuten zu zweit: „Darüber will ich jetzt nicht reden“ so umformulieren, dass Grund und Rückkehr erkennbar werden. Zwei Beispiele hören. Passt die vorgeschlagene Zeit nicht, wird eine andere vereinbart. Bezug zu Epheser 4,26.29: Zorn nicht nähren und Verantwortung für Worte übernehmen. Abschluss: „Die Pause hilft, wenn wir anschließend wirklich wieder miteinander sprechen.“</w:t>
      </w:r>
    </w:p>
    <w:p>
      <w:pPr>
        <w:pStyle w:val="Heading2"/>
      </w:pPr>
      <w:r>
        <w:t>Praktischer Abend für Ehepaare — 7 Min</w:t>
      </w:r>
    </w:p>
    <w:p>
      <w:r>
        <w:t>Blatt 5. Jeder beschreibt eine Minute lang ein eigenes Zeichen dafür, dass eine Pause nötig wird: schneller sprechen, lauter werden oder das Anliegen nicht mehr wiedergeben können. In drei Minuten einen Pausensatz und die Vereinbarung der Rückkehr besprechen. Kein Signal wählen, das einer als Spott erlebt. In den letzten zwei Minuten proben: Einer bittet um Pause, der andere klärt die Zeit. Rollen wechseln. Wer länger braucht, teilt das mit und schlägt eine neue Zeit vor.</w:t>
      </w:r>
    </w:p>
    <w:p>
      <w:pPr>
        <w:pStyle w:val="Heading2"/>
      </w:pPr>
      <w:r>
        <w:t>Ergebnis der Phase</w:t>
      </w:r>
    </w:p>
    <w:p>
      <w:r>
        <w:t>Der Pausensatz enthält einen Vorschlag zur Rückkehr.</w:t>
      </w:r>
    </w:p>
    <w:p>
      <w:r>
        <w:br w:type="page"/>
      </w:r>
    </w:p>
    <w:p>
      <w:pPr>
        <w:pStyle w:val="Heading1"/>
      </w:pPr>
      <w:r>
        <w:t>09  Ein Gespräch in dieser Woche</w:t>
      </w:r>
    </w:p>
    <w:p>
      <w:pPr>
        <w:jc w:val="right"/>
      </w:pPr>
      <w:r>
        <w:drawing>
          <wp:inline xmlns:a="http://schemas.openxmlformats.org/drawingml/2006/main" xmlns:pic="http://schemas.openxmlformats.org/drawingml/2006/picture">
            <wp:extent cx="3200400" cy="1801182"/>
            <wp:docPr id="11" name="Picture 11" descr="Illustration 08"/>
            <wp:cNvGraphicFramePr>
              <a:graphicFrameLocks noChangeAspect="1"/>
            </wp:cNvGraphicFramePr>
            <a:graphic>
              <a:graphicData uri="http://schemas.openxmlformats.org/drawingml/2006/picture">
                <pic:pic>
                  <pic:nvPicPr>
                    <pic:cNvPr id="0" name="08.png"/>
                    <pic:cNvPicPr/>
                  </pic:nvPicPr>
                  <pic:blipFill>
                    <a:blip r:embed="rId11"/>
                    <a:stretch>
                      <a:fillRect/>
                    </a:stretch>
                  </pic:blipFill>
                  <pic:spPr>
                    <a:xfrm>
                      <a:off x="0" y="0"/>
                      <a:ext cx="3200400" cy="1801182"/>
                    </a:xfrm>
                    <a:prstGeom prst="rect"/>
                  </pic:spPr>
                </pic:pic>
              </a:graphicData>
            </a:graphic>
          </wp:inline>
        </w:drawing>
      </w:r>
    </w:p>
    <w:p>
      <w:pPr>
        <w:pStyle w:val="Heading2"/>
      </w:pPr>
      <w:r>
        <w:t>Unterricht für Erwachsene — 5 Min</w:t>
      </w:r>
    </w:p>
    <w:p>
      <w:r>
        <w:t>Das persönliche Blatt 6 verteilen. Zwei Minuten still arbeiten: eine Person, einen passenden Zeitpunkt und ein kleines Anliegen wählen. Aufschreiben: „Ich möchte verstehen …“ und „Ich beginne mit …“. Eine weitere Minute: Was frage ich, wenn die andere Person gerade keine Zeit hat? Freiwillige lesen in einer Minute nur ihren ersten Satz vor. Zum Schluss prüfen, ob der Plan eine konkrete Handlung enthält. Die Blätter bleiben bei den Teilnehmenden. Keine Zusagen im Namen eines anderen aufschreiben.</w:t>
      </w:r>
    </w:p>
    <w:p>
      <w:pPr>
        <w:pStyle w:val="Heading2"/>
      </w:pPr>
      <w:r>
        <w:t>Praktischer Abend für Ehepaare — 6 Min</w:t>
      </w:r>
    </w:p>
    <w:p>
      <w:r>
        <w:t>Blatt 6, ein Exemplar pro Paar. Jeder notiert zunächst eine Minute einzeln ein Gesprächsthema. Dann zwei Minuten gemeinsam ein kleines Thema, einen passenden Zeitpunkt und zehn ungestörte Minuten vereinbaren. Für jeden sind drei Minuten Erzählen und zwei Minuten Wiedergeben und Klären durch den anderen vorgesehen. In den letzten zwei Minuten bestätigen: wann, wo und wie erinnern wir uns? Wer schlägt bei einer Änderung eine neue Zeit vor? Die Leitung fragt nur: „Passt die Absprache für euch beide?“ Die Inhalte werden nicht eingesammelt.</w:t>
      </w:r>
    </w:p>
    <w:p>
      <w:pPr>
        <w:pStyle w:val="Heading2"/>
      </w:pPr>
      <w:r>
        <w:t>Ergebnis der Phase</w:t>
      </w:r>
    </w:p>
    <w:p>
      <w:r>
        <w:t>Ein machbarer Schritt steht fest.</w:t>
      </w:r>
    </w:p>
    <w:p>
      <w:r>
        <w:br w:type="page"/>
      </w:r>
    </w:p>
    <w:p>
      <w:pPr>
        <w:pStyle w:val="Heading1"/>
      </w:pPr>
      <w:r>
        <w:t>10  Was ich künftig besser hören möchte</w:t>
      </w:r>
    </w:p>
    <w:p>
      <w:pPr>
        <w:jc w:val="right"/>
      </w:pPr>
      <w:r>
        <w:drawing>
          <wp:inline xmlns:a="http://schemas.openxmlformats.org/drawingml/2006/main" xmlns:pic="http://schemas.openxmlformats.org/drawingml/2006/picture">
            <wp:extent cx="3200400" cy="1801182"/>
            <wp:docPr id="12" name="Picture 12" descr="Illustration 09"/>
            <wp:cNvGraphicFramePr>
              <a:graphicFrameLocks noChangeAspect="1"/>
            </wp:cNvGraphicFramePr>
            <a:graphic>
              <a:graphicData uri="http://schemas.openxmlformats.org/drawingml/2006/picture">
                <pic:pic>
                  <pic:nvPicPr>
                    <pic:cNvPr id="0" name="09.png"/>
                    <pic:cNvPicPr/>
                  </pic:nvPicPr>
                  <pic:blipFill>
                    <a:blip r:embed="rId19"/>
                    <a:stretch>
                      <a:fillRect/>
                    </a:stretch>
                  </pic:blipFill>
                  <pic:spPr>
                    <a:xfrm>
                      <a:off x="0" y="0"/>
                      <a:ext cx="3200400" cy="1801182"/>
                    </a:xfrm>
                    <a:prstGeom prst="rect"/>
                  </pic:spPr>
                </pic:pic>
              </a:graphicData>
            </a:graphic>
          </wp:inline>
        </w:drawing>
      </w:r>
    </w:p>
    <w:p>
      <w:pPr>
        <w:pStyle w:val="Heading2"/>
      </w:pPr>
      <w:r>
        <w:t>Unterricht für Erwachsene — 3 Min</w:t>
      </w:r>
    </w:p>
    <w:p>
      <w:r>
        <w:t>Eine Minute: Alle schreiben ihre erste Antwort auf den Satz am Bildschirm. Zwei Beispiele hören. Orientierung: „Offenbar habe ich etwas Wichtiges überhört. Was möchtest du, dass ich jetzt verstehe?“ Prüfen: Die Antwort klärt, rechtfertigt sich nicht und urteilt nicht über die Person. Wer in Übung 6 eine Bestätigung für das Wiedergeben bekommen hat, kann die Hand heben. Das prüft die Übung, nicht den Wert eines Menschen. Abschluss: „Welche eine Gewohnheit nehmt ihr mit?“ Auf Wunsch das Abschlussgebet aus dem Leitfaden sprechen.</w:t>
      </w:r>
    </w:p>
    <w:p>
      <w:pPr>
        <w:pStyle w:val="Heading2"/>
      </w:pPr>
      <w:r>
        <w:t>Praktischer Abend für Ehepaare — 3 Min</w:t>
      </w:r>
    </w:p>
    <w:p>
      <w:r>
        <w:t>Jeder formuliert 30 Sekunden lang eine Antwort auf den Satz am Bildschirm. Danach bedankt sich jeder in 30 Sekunden für eine konkrete Handlung heute: „Danke, dass du mich ausreden lassen hast.“ Die Leitung erinnert kurz: „Probiert eure Absprache in dieser Woche aus. Fragt anschließend, was geholfen hat und was ihr ändern möchtet.“ Die verbleibende Zeit ist für ein freiwilliges Abschlussgebet. Bei mehreren Paaren bleiben die persönlichen Antworten zu zweit. Mit einem Paar endet das Treffen mit denselben Worten.</w:t>
      </w:r>
    </w:p>
    <w:p>
      <w:pPr>
        <w:pStyle w:val="Heading2"/>
      </w:pPr>
      <w:r>
        <w:t>Ergebnis der Phase</w:t>
      </w:r>
    </w:p>
    <w:p>
      <w:r>
        <w:t>Ein neuer Antwortsatz und ein persönlicher Gedanke.</w:t>
      </w:r>
    </w:p>
    <w:p>
      <w:r>
        <w:br w:type="page"/>
      </w:r>
    </w:p>
    <w:p>
      <w:pPr>
        <w:pStyle w:val="Heading1"/>
      </w:pPr>
      <w:r>
        <w:t>Hinweise für die Leitung</w:t>
      </w:r>
    </w:p>
    <w:p>
      <w:pPr>
        <w:pStyle w:val="Heading2"/>
      </w:pPr>
      <w:r>
        <w:t>Vor dem Treffen</w:t>
      </w:r>
    </w:p>
    <w:p>
      <w:r>
        <w:t>Lesen Sie beide Bibelabschnitte vollständig. Öffnen Sie die Präsentation für das gewählte Format. Bereiten Sie Timer, Stifte, Papier und zwei Tassen für die Szene vor. Stellen Sie die Stühle so, dass die Gesprächspartner einander sehen. Ein anderer Gegenstand kann das Handy ersetzen.</w:t>
      </w:r>
    </w:p>
    <w:p>
      <w:pPr>
        <w:pStyle w:val="Heading2"/>
      </w:pPr>
      <w:r>
        <w:t>Drucken</w:t>
      </w:r>
    </w:p>
    <w:p>
      <w:r>
        <w:t>Arbeitsblatt 1: ein Satz mit zwei Rollen für die gemeinsame Szene oder pro Paar. Blatt 2 mit den Hintergrundinformationen bleibt bis Phase 5 bei der Leitung. Blatt 3: ein Satz pro Dreiergruppe oder Paar. Blätter 4 und 5: jeweils ein Exemplar pro Paar. Blatt 6: ein persönliches Exemplar pro Person im allgemeinen Unterricht oder pro Ehepaar.</w:t>
      </w:r>
    </w:p>
    <w:p>
      <w:pPr>
        <w:pStyle w:val="Heading2"/>
      </w:pPr>
      <w:r>
        <w:t>Gespräche begleiten</w:t>
      </w:r>
    </w:p>
    <w:p>
      <w:r>
        <w:t>Führen Sie die Frage „Warum hat er das gemacht?“ zu „Was wissen wir tatsächlich?“ zurück. Lassen Sie bei mehreren möglichen Antworten die Auswahl begründen. Beispielantworten geben Orientierung, sind aber nicht die einzig richtige Formulierung. Unterstellen Sie Männern oder Frauen keine allgemeingültigen Gesprächseigenschaften.</w:t>
      </w:r>
    </w:p>
    <w:p>
      <w:pPr>
        <w:pStyle w:val="Heading2"/>
      </w:pPr>
      <w:r>
        <w:t>Ein Paar oder mehrere Paare</w:t>
      </w:r>
    </w:p>
    <w:p>
      <w:r>
        <w:t>Bei einem einzelnen Paar kann die Leitung eine Rolle der Demonstration übernehmen, wenn die Eheleute nicht spielen möchten. Lassen Sie ihnen in den Übungen 6 und 9 Raum für ein Gespräch zu zweit. Mit mehreren Paaren werden nur Erfahrungen mit der Übung gemeinsam besprochen, persönliche Inhalte bleiben beim Paar.</w:t>
      </w:r>
    </w:p>
    <w:p>
      <w:r>
        <w:br w:type="page"/>
      </w:r>
    </w:p>
    <w:p>
      <w:pPr>
        <w:pStyle w:val="Heading1"/>
      </w:pPr>
      <w:r>
        <w:t>Hinweise für die Leitung</w:t>
      </w:r>
    </w:p>
    <w:p>
      <w:pPr>
        <w:pStyle w:val="Heading2"/>
      </w:pPr>
      <w:r>
        <w:t>Wenn es schwierig wird</w:t>
      </w:r>
    </w:p>
    <w:p>
      <w:r>
        <w:t>Alle dürfen eine erfundene Situation wählen oder eine Übung auslassen. Unterbrechen Sie Beleidigungen und kehren Sie zum Übungsbeispiel zurück. Berichtet jemand von Angst, Drohungen oder Gewalt, führen Sie keine gemeinsame Aussprache durch und verlangen Sie keine Versöhnung. Bieten Sie ein separates Gespräch und passende Hilfe an. Respekt bedeutet nicht, Demütigung hinzunehmen.</w:t>
      </w:r>
    </w:p>
    <w:p>
      <w:pPr>
        <w:pStyle w:val="Heading2"/>
      </w:pPr>
      <w:r>
        <w:t>Eine Pause vereinbaren</w:t>
      </w:r>
    </w:p>
    <w:p>
      <w:r>
        <w:t>Das Wort vom Sonnenuntergang fordert dazu auf, Zorn nicht weiter zu nähren. Es verlangt nicht, einen erschöpfenden Streit um jeden Preis zu Ende zu führen. Zur Pause gehört eine klare, gemeinsam vereinbarte Zeit, zu der das Gespräch weitergeht.</w:t>
      </w:r>
    </w:p>
    <w:p>
      <w:pPr>
        <w:pStyle w:val="Heading2"/>
      </w:pPr>
      <w:r>
        <w:t>Mit und ohne Bildschirm</w:t>
      </w:r>
    </w:p>
    <w:p>
      <w:r>
        <w:t>Alle Aufgaben funktionieren mit Papier und Handzeichen. Für die Übertragung auf die interaktive Plattform eignen sich die Abstimmungen in Phase 1 und 3, das Sortieren in Phase 5 und die kurzen Antworten in Phase 7 und 10. Erst Antworten sammeln, dann besprechen. Persönliche Gespräche und Wochenpläne erscheinen nicht auf dem gemeinsamen Bildschirm.</w:t>
      </w:r>
    </w:p>
    <w:p>
      <w:pPr>
        <w:pStyle w:val="Heading2"/>
      </w:pPr>
      <w:r>
        <w:t>Bei Zeitdruck</w:t>
      </w:r>
    </w:p>
    <w:p>
      <w:r>
        <w:t>Behalten Sie Bibellektüre, Hörübung und persönlichen Schritt bei. Lassen Sie innerhalb der vorgesehenen Zeit nur zwei Gruppen berichten. Beide Gesprächsrunden mit Rollenwechsel bleiben erhalten: Alle sollen sprechen und zuhören können.</w:t>
      </w:r>
    </w:p>
    <w:p>
      <w:pPr>
        <w:pStyle w:val="Heading2"/>
      </w:pPr>
      <w:r>
        <w:t>Freiwilliges Abschlussgebet</w:t>
      </w:r>
    </w:p>
    <w:p>
      <w:r>
        <w:t>Herr, hilf uns, einander zuzuhören, verletzende Worte zurückzuhalten und die Wahrheit in Liebe zu sagen. Gib uns Geduld, eigene Fehler zu korrigieren und für unseren Nächsten zu sorgen. Amen.</w:t>
      </w:r>
    </w:p>
    <w:p>
      <w:pPr>
        <w:pStyle w:val="Heading2"/>
      </w:pPr>
      <w:r>
        <w:t>Quellen und Bilder</w:t>
      </w:r>
    </w:p>
    <w:p>
      <w:r>
        <w:t>https://bibelvers.no/de/elberfelder_1905/ephesians/4</w:t>
      </w:r>
    </w:p>
    <w:p>
      <w:r>
        <w:t>https://getbible.life/elberfelder1905/Jakobus/1</w:t>
      </w:r>
    </w:p>
    <w:p>
      <w:r>
        <w:t>Die heutige Geschichte, Aufgaben und das Gebet wurden für diesen Unterricht verfasst. Die Illustrationen wurden mit KI eigens für das Material erstellt. Beide Sprachfassungen verwenden dieselben PNG-Dateien.</w:t>
      </w:r>
    </w:p>
    <w:sectPr w:rsidR="00FC693F" w:rsidRPr="0006063C" w:rsidSect="00034616">
      <w:footerReference w:type="default" r:id="rId9"/>
      <w:pgSz w:w="11906" w:h="16838"/>
      <w:pgMar w:top="935" w:right="1020" w:bottom="935"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DejaVu Sans" w:hAnsi="DejaVu San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69" w:lineRule="auto"/>
      <w:outlineLvl w:val="0"/>
    </w:pPr>
    <w:rPr>
      <w:rFonts w:asciiTheme="majorHAnsi" w:eastAsiaTheme="majorEastAsia" w:hAnsiTheme="majorHAnsi" w:cstheme="majorBidi" w:ascii="DejaVu Sans" w:hAnsi="DejaVu Sans"/>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20" w:line="269" w:lineRule="auto"/>
      <w:outlineLvl w:val="1"/>
    </w:pPr>
    <w:rPr>
      <w:rFonts w:asciiTheme="majorHAnsi" w:eastAsiaTheme="majorEastAsia" w:hAnsiTheme="majorHAnsi" w:cstheme="majorBidi" w:ascii="DejaVu Sans" w:hAnsi="DejaVu San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line="269" w:lineRule="auto"/>
      <w:outlineLvl w:val="2"/>
    </w:pPr>
    <w:rPr>
      <w:rFonts w:asciiTheme="majorHAnsi" w:eastAsiaTheme="majorEastAsia" w:hAnsiTheme="majorHAnsi" w:cstheme="majorBidi" w:ascii="DejaVu Sans" w:hAnsi="DejaVu San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69" w:lineRule="auto"/>
      <w:contextualSpacing/>
    </w:pPr>
    <w:rPr>
      <w:rFonts w:asciiTheme="majorHAnsi" w:eastAsiaTheme="majorEastAsia" w:hAnsiTheme="majorHAnsi" w:cstheme="majorBidi" w:ascii="DejaVu Sans" w:hAnsi="DejaVu Sans"/>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69" w:lineRule="auto"/>
    </w:pPr>
    <w:rPr>
      <w:rFonts w:asciiTheme="majorHAnsi" w:eastAsiaTheme="majorEastAsia" w:hAnsiTheme="majorHAnsi" w:cstheme="majorBidi" w:ascii="DejaVu Sans" w:hAnsi="DejaVu Sans"/>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 Id="rId17" Type="http://schemas.openxmlformats.org/officeDocument/2006/relationships/image" Target="media/image8.jpg"/><Relationship Id="rId18" Type="http://schemas.openxmlformats.org/officeDocument/2006/relationships/image" Target="media/image9.jpg"/><Relationship Id="rId19"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Warum hören wir einander nicht mehr zu?</dc:title>
  <dc:subject/>
  <dc:creator>lessons.atapin.de</dc:creator>
  <cp:keywords/>
  <dc:description>generated by python-docx</dc:description>
  <cp:lastModifiedBy/>
  <cp:revision>1</cp:revision>
  <dcterms:created xsi:type="dcterms:W3CDTF">2013-12-23T23:15:00Z</dcterms:created>
  <dcterms:modified xsi:type="dcterms:W3CDTF">2013-12-23T23:15:00Z</dcterms:modified>
  <cp:category/>
  <dc:language>de</dc:language>
</cp:coreProperties>
</file>