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F20754" w14:textId="77777777" w:rsidR="00000000" w:rsidRPr="D4FAD750" w:rsidRDefault="00000000" w:rsidP="D4FAD750">
      <w:pPr>
        <w:pBdr>
          <w:bottom w:val="single" w:sz="8" w:space="0" w:color="010500"/>
        </w:pBdr>
        <w:snapToGrid w:val="0"/>
        <w:rPr>
          <w:sz w:val="28"/>
        </w:rPr>
      </w:pPr>
    </w:p>
    <w:p w14:paraId="690FD4FD" w14:textId="77777777" w:rsidR="00000000" w:rsidRPr="70A3B87A" w:rsidRDefault="00000000" w:rsidP="70A3B87A">
      <w:pPr>
        <w:pBdr>
          <w:bottom w:val="single" w:sz="8" w:space="0" w:color="020008"/>
        </w:pBdr>
        <w:snapToGrid w:val="0"/>
        <w:rPr>
          <w:sz w:val="28"/>
        </w:rPr>
      </w:pPr>
      <w:r>
        <w:rPr>
          <w:rFonts w:hint="eastAsia"/>
          <w:b/>
          <w:sz w:val="30"/>
        </w:rPr>
        <w:t>塑料，塑料袋（已有）</w:t>
      </w:r>
    </w:p>
    <w:p w14:paraId="1F915DE8" w14:textId="77777777" w:rsidR="006C1A0C" w:rsidRDefault="00000000" w:rsidP="C597AB06">
      <w:pPr>
        <w:pBdr>
          <w:bottom w:val="single" w:sz="8" w:space="0" w:color="020208"/>
        </w:pBdr>
        <w:snapToGrid w:val="0"/>
        <w:rPr>
          <w:b/>
          <w:sz w:val="30"/>
        </w:rPr>
      </w:pPr>
      <w:r>
        <w:rPr>
          <w:rFonts w:hint="eastAsia"/>
          <w:b/>
          <w:sz w:val="30"/>
        </w:rPr>
        <w:t>易拉罐</w:t>
      </w:r>
    </w:p>
    <w:p w14:paraId="1F6AE5F3" w14:textId="3E0D4EB5" w:rsidR="00000000" w:rsidRPr="C597AB06" w:rsidRDefault="00000000" w:rsidP="C597AB06">
      <w:pPr>
        <w:pBdr>
          <w:bottom w:val="single" w:sz="8" w:space="0" w:color="020208"/>
        </w:pBdr>
        <w:snapToGrid w:val="0"/>
        <w:rPr>
          <w:sz w:val="28"/>
        </w:rPr>
      </w:pPr>
      <w:r>
        <w:rPr>
          <w:rFonts w:hint="eastAsia"/>
          <w:sz w:val="28"/>
        </w:rPr>
        <w:t>海洋生物可能会误食金属易拉罐或其碎片，导致消化道阻塞或损伤。</w:t>
      </w:r>
      <w:r>
        <w:rPr>
          <w:rFonts w:hint="eastAsia"/>
          <w:sz w:val="28"/>
        </w:rPr>
        <w:t xml:space="preserve">  </w:t>
      </w:r>
      <w:r>
        <w:rPr>
          <w:rFonts w:hint="eastAsia"/>
          <w:sz w:val="28"/>
        </w:rPr>
        <w:t>金属在海水中可能会逐渐释放出其中的腐蚀产物，如铝，对海洋生物造成化学性污染。金属的沉积可能破坏海底生物的栖息地，影响其生存和繁殖。</w:t>
      </w:r>
    </w:p>
    <w:p w14:paraId="63044E4D" w14:textId="77777777" w:rsidR="00000000" w:rsidRPr="331A4921" w:rsidRDefault="00000000" w:rsidP="331A4921">
      <w:pPr>
        <w:pBdr>
          <w:bottom w:val="single" w:sz="8" w:space="0" w:color="020208"/>
        </w:pBdr>
        <w:snapToGrid w:val="0"/>
        <w:rPr>
          <w:sz w:val="28"/>
        </w:rPr>
      </w:pPr>
      <w:r>
        <w:rPr>
          <w:rFonts w:hint="eastAsia"/>
          <w:b/>
          <w:sz w:val="30"/>
        </w:rPr>
        <w:t>金属</w:t>
      </w:r>
    </w:p>
    <w:p w14:paraId="373CD490" w14:textId="77777777" w:rsidR="00000000" w:rsidRPr="FE548424" w:rsidRDefault="00000000" w:rsidP="FE548424">
      <w:pPr>
        <w:pBdr>
          <w:bottom w:val="single" w:sz="8" w:space="0" w:color="020208"/>
        </w:pBdr>
        <w:snapToGrid w:val="0"/>
        <w:rPr>
          <w:sz w:val="28"/>
        </w:rPr>
      </w:pPr>
      <w:r>
        <w:rPr>
          <w:rFonts w:hint="eastAsia"/>
          <w:sz w:val="28"/>
        </w:rPr>
        <w:t>金属在捕鱼工具中扮演了重要角色，金属制成的捕鱼工具比木质或骨质工具更加耐用，能够承受较大的拉力和海水的腐蚀。金属网坠，能够提供更好的结构稳定性，使渔网更有效地沉入水中。从提高工具的耐用性和效率，到满足特定捕鱼需求，金属渔具都发挥着不可或缺的作用。</w:t>
      </w:r>
    </w:p>
    <w:p w14:paraId="07A04457" w14:textId="77777777" w:rsidR="006C1A0C" w:rsidRDefault="00000000" w:rsidP="2744E74C">
      <w:pPr>
        <w:pBdr>
          <w:bottom w:val="single" w:sz="8" w:space="0" w:color="020801"/>
        </w:pBdr>
        <w:snapToGrid w:val="0"/>
        <w:rPr>
          <w:b/>
          <w:sz w:val="30"/>
        </w:rPr>
      </w:pPr>
      <w:r>
        <w:rPr>
          <w:rFonts w:hint="eastAsia"/>
          <w:b/>
          <w:sz w:val="30"/>
        </w:rPr>
        <w:t>胶鞋手套</w:t>
      </w:r>
    </w:p>
    <w:p w14:paraId="4DFD2145" w14:textId="77777777" w:rsidR="006C1A0C" w:rsidRDefault="00000000" w:rsidP="2744E74C">
      <w:pPr>
        <w:pBdr>
          <w:bottom w:val="single" w:sz="8" w:space="0" w:color="020801"/>
        </w:pBdr>
        <w:snapToGrid w:val="0"/>
        <w:rPr>
          <w:sz w:val="28"/>
        </w:rPr>
      </w:pPr>
      <w:r>
        <w:rPr>
          <w:rFonts w:hint="eastAsia"/>
          <w:sz w:val="28"/>
        </w:rPr>
        <w:t>橡胶制品，可能会对海洋生物造成物理伤害，如缠绕和割伤。海洋生物可能会误食橡胶碎片，这可能导致消化道阻塞或其他内部伤。橡胶制品碎片化后可能形成微塑料，广泛分布于海洋环境中，对海洋生态系统构成潜在风险。橡胶垃圾的聚集可能会破坏海洋生物的栖息地，如珊瑚礁。</w:t>
      </w:r>
    </w:p>
    <w:p w14:paraId="2022AB98" w14:textId="77777777" w:rsidR="006C1A0C" w:rsidRDefault="00000000" w:rsidP="2744E74C">
      <w:pPr>
        <w:pBdr>
          <w:bottom w:val="single" w:sz="8" w:space="0" w:color="020801"/>
        </w:pBdr>
        <w:snapToGrid w:val="0"/>
        <w:rPr>
          <w:b/>
          <w:sz w:val="30"/>
        </w:rPr>
      </w:pPr>
      <w:r>
        <w:rPr>
          <w:rFonts w:hint="eastAsia"/>
          <w:b/>
          <w:sz w:val="30"/>
        </w:rPr>
        <w:t>橡胶</w:t>
      </w:r>
    </w:p>
    <w:p w14:paraId="33B36411" w14:textId="02F22FDC" w:rsidR="00000000" w:rsidRPr="2744E74C" w:rsidRDefault="00000000" w:rsidP="2744E74C">
      <w:pPr>
        <w:pBdr>
          <w:bottom w:val="single" w:sz="8" w:space="0" w:color="020801"/>
        </w:pBdr>
        <w:snapToGrid w:val="0"/>
        <w:rPr>
          <w:sz w:val="28"/>
        </w:rPr>
      </w:pPr>
      <w:r>
        <w:rPr>
          <w:rFonts w:hint="eastAsia"/>
          <w:sz w:val="28"/>
        </w:rPr>
        <w:t>橡胶材料因其良好的浮性，常被用来制作浮标、浮球等便于操作和收网。橡胶具有良好的耐海水腐蚀性能，也是一种电绝缘材料。相比于金属等材料成本较低，适合经济型捕鱼工具的制造。橡胶材料可回收利用，有助于减少海洋垃圾。橡胶因其独特的物理和化学性质，不仅提高了捕鱼效率，还有助于保护渔民的安全和海洋环境的健康。</w:t>
      </w:r>
    </w:p>
    <w:p w14:paraId="0412AC28" w14:textId="77777777" w:rsidR="00000000" w:rsidRPr="72DD5AEE" w:rsidRDefault="00000000" w:rsidP="72DD5AEE">
      <w:pPr>
        <w:pBdr>
          <w:bottom w:val="single" w:sz="8" w:space="0" w:color="030003"/>
        </w:pBdr>
        <w:snapToGrid w:val="0"/>
        <w:rPr>
          <w:sz w:val="28"/>
        </w:rPr>
      </w:pPr>
      <w:r>
        <w:rPr>
          <w:rFonts w:hint="eastAsia"/>
          <w:b/>
          <w:sz w:val="30"/>
        </w:rPr>
        <w:t>酒瓶</w:t>
      </w:r>
    </w:p>
    <w:p w14:paraId="5B63350D" w14:textId="77777777" w:rsidR="00000000" w:rsidRPr="5E3E09DB" w:rsidRDefault="00000000" w:rsidP="5E3E09DB">
      <w:pPr>
        <w:pBdr>
          <w:bottom w:val="single" w:sz="8" w:space="0" w:color="030003"/>
        </w:pBdr>
        <w:snapToGrid w:val="0"/>
        <w:rPr>
          <w:b/>
          <w:sz w:val="30"/>
        </w:rPr>
      </w:pPr>
      <w:r>
        <w:rPr>
          <w:rFonts w:hint="eastAsia"/>
          <w:sz w:val="28"/>
        </w:rPr>
        <w:t>玻璃瓶的碎片会对海洋生物造成割伤或其他物理伤害。漂浮在水面的玻璃瓶可能会对船只的航行安全造成威胁。玻璃是一种非常稳定的材料，可以在海洋中存在数百甚至数千年而不降解。</w:t>
      </w:r>
    </w:p>
    <w:p w14:paraId="24BD9D69" w14:textId="77777777" w:rsidR="006C1A0C" w:rsidRDefault="00000000" w:rsidP="FA0E8063">
      <w:pPr>
        <w:pBdr>
          <w:bottom w:val="single" w:sz="8" w:space="0" w:color="030003"/>
        </w:pBdr>
        <w:snapToGrid w:val="0"/>
        <w:rPr>
          <w:b/>
          <w:sz w:val="30"/>
        </w:rPr>
      </w:pPr>
      <w:r>
        <w:rPr>
          <w:rFonts w:hint="eastAsia"/>
          <w:b/>
          <w:sz w:val="30"/>
        </w:rPr>
        <w:t>玻璃</w:t>
      </w:r>
    </w:p>
    <w:p w14:paraId="07F7083F" w14:textId="6D1DA130" w:rsidR="00000000" w:rsidRPr="FA0E8063" w:rsidRDefault="00000000" w:rsidP="FA0E8063">
      <w:pPr>
        <w:pBdr>
          <w:bottom w:val="single" w:sz="8" w:space="0" w:color="030003"/>
        </w:pBdr>
        <w:snapToGrid w:val="0"/>
        <w:rPr>
          <w:sz w:val="28"/>
        </w:rPr>
      </w:pPr>
      <w:r>
        <w:rPr>
          <w:rFonts w:hint="eastAsia"/>
          <w:sz w:val="28"/>
        </w:rPr>
        <w:t>在一些特殊的渔业设备中玻璃因其透明性而被用来保护设备免受水下环境的损害。在一些传统或紧急情况下，玻璃瓶或其他玻璃制品可能被临时用作简易的捕鱼工具，如作为重物帮助渔网下沉。由于玻璃的易碎性，它在实际捕鱼活动中的使用需要谨慎，以避免对海洋环境造成不必要的损害。</w:t>
      </w:r>
    </w:p>
    <w:p w14:paraId="2B04082B" w14:textId="77777777" w:rsidR="00000000" w:rsidRPr="C0FAAA4C" w:rsidRDefault="00000000" w:rsidP="C0FAAA4C">
      <w:pPr>
        <w:pBdr>
          <w:bottom w:val="single" w:sz="8" w:space="0" w:color="060803"/>
        </w:pBdr>
        <w:snapToGrid w:val="0"/>
        <w:rPr>
          <w:sz w:val="28"/>
        </w:rPr>
      </w:pPr>
      <w:r>
        <w:rPr>
          <w:rFonts w:hint="eastAsia"/>
          <w:b/>
          <w:sz w:val="30"/>
        </w:rPr>
        <w:lastRenderedPageBreak/>
        <w:t>尼龙绳</w:t>
      </w:r>
    </w:p>
    <w:p w14:paraId="25CD7CA9" w14:textId="77777777" w:rsidR="006C1A0C" w:rsidRDefault="00000000" w:rsidP="EC942123">
      <w:pPr>
        <w:pBdr>
          <w:bottom w:val="single" w:sz="8" w:space="0" w:color="060803"/>
        </w:pBdr>
        <w:snapToGrid w:val="0"/>
        <w:rPr>
          <w:sz w:val="28"/>
        </w:rPr>
      </w:pPr>
      <w:r>
        <w:rPr>
          <w:rFonts w:hint="eastAsia"/>
          <w:sz w:val="28"/>
        </w:rPr>
        <w:t>尼龙绳和其他合成纤维绳材由于其强度高、不易降解的特性，可能会缠绕海洋生物，如海龟、海豹、海豚等，导致它们无法自由游动，严重时甚至窒息死亡。废弃的尼龙渔网被称为“幽灵网”，它们在海洋中继续捕捞，对海洋生物构成持续的威胁。尼龙绳在紫外线照射和海水作用下会逐渐分解成微塑料，这些微塑料颗粒会进入海洋食物链，对生态系统造成潜在风险。</w:t>
      </w:r>
    </w:p>
    <w:p w14:paraId="54BA24B3" w14:textId="194C7913" w:rsidR="00000000" w:rsidRPr="EC942123" w:rsidRDefault="00000000" w:rsidP="EC942123">
      <w:pPr>
        <w:pBdr>
          <w:bottom w:val="single" w:sz="8" w:space="0" w:color="060803"/>
        </w:pBdr>
        <w:snapToGrid w:val="0"/>
        <w:rPr>
          <w:sz w:val="28"/>
        </w:rPr>
      </w:pPr>
      <w:r>
        <w:rPr>
          <w:rFonts w:hint="eastAsia"/>
          <w:b/>
          <w:sz w:val="30"/>
        </w:rPr>
        <w:t>合成纤维</w:t>
      </w:r>
    </w:p>
    <w:p w14:paraId="041EC105" w14:textId="77777777" w:rsidR="00000000" w:rsidRPr="775F24F2" w:rsidRDefault="00000000" w:rsidP="775F24F2">
      <w:pPr>
        <w:pBdr>
          <w:bottom w:val="single" w:sz="8" w:space="0" w:color="060803"/>
        </w:pBdr>
        <w:snapToGrid w:val="0"/>
        <w:rPr>
          <w:sz w:val="28"/>
        </w:rPr>
      </w:pPr>
      <w:r>
        <w:rPr>
          <w:rFonts w:hint="eastAsia"/>
          <w:sz w:val="28"/>
        </w:rPr>
        <w:t>因其高强度和耐久性，常被用来制造渔网，不仅耐用，而且轻便，便于携带和操作。可提供更好的投掷距离和捕鱼成功率。可用于制作渔民的保护装备，如救生衣、手套和其他个人防护装备。废弃网和绳索可能对海洋生物构成威胁，因此，看到漂浮的尼龙绳可以捡起，以减少对海洋环境的影响。</w:t>
      </w:r>
    </w:p>
    <w:p w14:paraId="2ADF9610" w14:textId="77777777" w:rsidR="00000000" w:rsidRPr="08239BD8" w:rsidRDefault="00000000" w:rsidP="08239BD8">
      <w:pPr>
        <w:pBdr>
          <w:bottom w:val="single" w:sz="8" w:space="0" w:color="060803"/>
        </w:pBdr>
        <w:snapToGrid w:val="0"/>
        <w:rPr>
          <w:sz w:val="28"/>
        </w:rPr>
      </w:pPr>
    </w:p>
    <w:p w14:paraId="5E8CB4F5" w14:textId="77777777" w:rsidR="00000000" w:rsidRPr="A8124604" w:rsidRDefault="00000000" w:rsidP="A8124604">
      <w:pPr>
        <w:pBdr>
          <w:bottom w:val="single" w:sz="8" w:space="0" w:color="060803"/>
        </w:pBdr>
        <w:snapToGrid w:val="0"/>
        <w:rPr>
          <w:sz w:val="28"/>
        </w:rPr>
      </w:pPr>
    </w:p>
    <w:p w14:paraId="57071057" w14:textId="77777777" w:rsidR="00000000" w:rsidRPr="B66A0075" w:rsidRDefault="00000000" w:rsidP="B66A0075">
      <w:pPr>
        <w:pBdr>
          <w:bottom w:val="single" w:sz="8" w:space="0" w:color="060803"/>
        </w:pBdr>
        <w:snapToGrid w:val="0"/>
        <w:rPr>
          <w:sz w:val="28"/>
        </w:rPr>
      </w:pPr>
    </w:p>
    <w:p w14:paraId="450AC4AE" w14:textId="77777777" w:rsidR="00000000" w:rsidRPr="6F8BC037" w:rsidRDefault="00000000" w:rsidP="6F8BC037">
      <w:pPr>
        <w:pBdr>
          <w:bottom w:val="single" w:sz="8" w:space="0" w:color="060803"/>
        </w:pBdr>
        <w:snapToGrid w:val="0"/>
        <w:rPr>
          <w:sz w:val="28"/>
        </w:rPr>
      </w:pPr>
    </w:p>
    <w:p w14:paraId="49281057" w14:textId="77777777" w:rsidR="00000000" w:rsidRPr="EFAA3847" w:rsidRDefault="00000000" w:rsidP="EFAA3847">
      <w:pPr>
        <w:pBdr>
          <w:bottom w:val="single" w:sz="8" w:space="0" w:color="060803"/>
        </w:pBdr>
        <w:snapToGrid w:val="0"/>
        <w:rPr>
          <w:sz w:val="28"/>
        </w:rPr>
      </w:pPr>
    </w:p>
    <w:p w14:paraId="2107BE3D" w14:textId="77777777" w:rsidR="00000000" w:rsidRPr="84FBD1D8" w:rsidRDefault="00000000" w:rsidP="84FBD1D8">
      <w:pPr>
        <w:pBdr>
          <w:bottom w:val="single" w:sz="8" w:space="0" w:color="060803"/>
        </w:pBdr>
        <w:snapToGrid w:val="0"/>
        <w:rPr>
          <w:sz w:val="28"/>
        </w:rPr>
      </w:pPr>
    </w:p>
    <w:p w14:paraId="05BEAFED" w14:textId="77777777" w:rsidR="006C1A0C" w:rsidRDefault="00000000" w:rsidP="AD40EB65">
      <w:pPr>
        <w:pBdr>
          <w:bottom w:val="single" w:sz="8" w:space="0" w:color="090302"/>
        </w:pBdr>
        <w:snapToGrid w:val="0"/>
        <w:rPr>
          <w:b/>
          <w:sz w:val="30"/>
        </w:rPr>
      </w:pPr>
      <w:r>
        <w:rPr>
          <w:rFonts w:hint="eastAsia"/>
          <w:b/>
          <w:sz w:val="30"/>
        </w:rPr>
        <w:t>海兔</w:t>
      </w:r>
    </w:p>
    <w:p w14:paraId="4119DB77" w14:textId="5734200E" w:rsidR="00000000" w:rsidRPr="AD40EB65" w:rsidRDefault="00000000" w:rsidP="AD40EB65">
      <w:pPr>
        <w:pBdr>
          <w:bottom w:val="single" w:sz="8" w:space="0" w:color="090302"/>
        </w:pBdr>
        <w:snapToGrid w:val="0"/>
        <w:rPr>
          <w:sz w:val="28"/>
        </w:rPr>
      </w:pPr>
      <w:r>
        <w:rPr>
          <w:rFonts w:hint="eastAsia"/>
          <w:sz w:val="28"/>
        </w:rPr>
        <w:t>是一种生活在浅海的贝类。因其头上的触角突出，形状类似兔子的耳朵，因此得名“海兔”。在中国，海兔主要分布在暖海区域，尤其是在东南沿海地区，如广东、海南岛、西沙群岛等地。海兔喜欢在海水清澈、水流畅通、海藻丛生的环境中生活。</w:t>
      </w:r>
    </w:p>
    <w:p w14:paraId="7F33F5A4" w14:textId="77777777" w:rsidR="006C1A0C" w:rsidRDefault="00000000" w:rsidP="52EC82E6">
      <w:pPr>
        <w:pBdr>
          <w:bottom w:val="single" w:sz="8" w:space="0" w:color="040307"/>
        </w:pBdr>
        <w:snapToGrid w:val="0"/>
        <w:rPr>
          <w:b/>
          <w:sz w:val="30"/>
        </w:rPr>
      </w:pPr>
      <w:r>
        <w:rPr>
          <w:rFonts w:hint="eastAsia"/>
          <w:b/>
          <w:sz w:val="30"/>
        </w:rPr>
        <w:t>鳗鱼</w:t>
      </w:r>
    </w:p>
    <w:p w14:paraId="18052BA4" w14:textId="7F6FCDB8" w:rsidR="00000000" w:rsidRPr="52EC82E6" w:rsidRDefault="00000000" w:rsidP="52EC82E6">
      <w:pPr>
        <w:pBdr>
          <w:bottom w:val="single" w:sz="8" w:space="0" w:color="040307"/>
        </w:pBdr>
        <w:snapToGrid w:val="0"/>
        <w:rPr>
          <w:sz w:val="28"/>
        </w:rPr>
      </w:pPr>
      <w:r>
        <w:rPr>
          <w:rFonts w:hint="eastAsia"/>
          <w:sz w:val="28"/>
        </w:rPr>
        <w:t>鳗鱼是一种经济价值很高的水生动物，被誉为“水中软黄金”。在中国的主要分布区域集中在福建、广东和江西等地。在中国不仅是一种重要的经济水产品，而且在文化、营养和药用价值方面也占有重要地位。</w:t>
      </w:r>
    </w:p>
    <w:p w14:paraId="0F4D3111" w14:textId="77777777" w:rsidR="006C1A0C" w:rsidRDefault="00000000" w:rsidP="05F0ABF9">
      <w:pPr>
        <w:pBdr>
          <w:bottom w:val="single" w:sz="8" w:space="0" w:color="060302"/>
        </w:pBdr>
        <w:snapToGrid w:val="0"/>
        <w:rPr>
          <w:b/>
          <w:sz w:val="30"/>
        </w:rPr>
      </w:pPr>
      <w:r>
        <w:rPr>
          <w:rFonts w:hint="eastAsia"/>
          <w:b/>
          <w:sz w:val="30"/>
        </w:rPr>
        <w:t>石斑鱼</w:t>
      </w:r>
    </w:p>
    <w:p w14:paraId="1967EA07" w14:textId="076380B4" w:rsidR="00000000" w:rsidRPr="05F0ABF9" w:rsidRDefault="00000000" w:rsidP="05F0ABF9">
      <w:pPr>
        <w:pBdr>
          <w:bottom w:val="single" w:sz="8" w:space="0" w:color="060302"/>
        </w:pBdr>
        <w:snapToGrid w:val="0"/>
        <w:rPr>
          <w:sz w:val="28"/>
        </w:rPr>
      </w:pPr>
      <w:r>
        <w:rPr>
          <w:rFonts w:hint="eastAsia"/>
          <w:sz w:val="28"/>
        </w:rPr>
        <w:t>石斑鱼是一种生活在热带和亚热带海域的鱼类，分布于东海、台湾海峡和南海，尤其是澎湖列岛海域石斑鱼种类更为丰富。主要栖息于珊瑚礁及近岸岩礁区域，幼鱼则偏爱海草床、红树林等生境。石斑鱼是肉食性鱼类，不仅是一种美味的食用鱼类，还具有重要的生态价值和经济价值。由于其生命周期的特殊性，石斑鱼在生态保护和可持续渔业管理中也占有一席之地。</w:t>
      </w:r>
    </w:p>
    <w:p w14:paraId="4295D70E" w14:textId="77777777" w:rsidR="006C1A0C" w:rsidRDefault="00000000" w:rsidP="AE8D1575">
      <w:pPr>
        <w:pBdr>
          <w:bottom w:val="single" w:sz="8" w:space="0" w:color="000505"/>
        </w:pBdr>
        <w:snapToGrid w:val="0"/>
        <w:rPr>
          <w:b/>
          <w:sz w:val="30"/>
        </w:rPr>
      </w:pPr>
      <w:r>
        <w:rPr>
          <w:rFonts w:hint="eastAsia"/>
          <w:b/>
          <w:sz w:val="30"/>
        </w:rPr>
        <w:t>小黄鱼</w:t>
      </w:r>
    </w:p>
    <w:p w14:paraId="4289D1E7" w14:textId="1F600B15" w:rsidR="00000000" w:rsidRPr="AE8D1575" w:rsidRDefault="00000000" w:rsidP="AE8D1575">
      <w:pPr>
        <w:pBdr>
          <w:bottom w:val="single" w:sz="8" w:space="0" w:color="000505"/>
        </w:pBdr>
        <w:snapToGrid w:val="0"/>
        <w:rPr>
          <w:sz w:val="28"/>
        </w:rPr>
      </w:pPr>
      <w:r>
        <w:rPr>
          <w:rFonts w:hint="eastAsia"/>
          <w:sz w:val="28"/>
        </w:rPr>
        <w:lastRenderedPageBreak/>
        <w:t>小黄鱼，主要分布在中国的黄海、东海和南海等海域。通常栖息在近海的底层，是杂食性鱼类。小黄鱼是中国重要的海产经济鱼类之一，对水质和环境变化较为敏感，因此其生存状况也被作为评估海洋生态环境的一个指标。</w:t>
      </w:r>
    </w:p>
    <w:p w14:paraId="79525E9A" w14:textId="77777777" w:rsidR="006C1A0C" w:rsidRDefault="0028768E" w:rsidP="005533ED">
      <w:pPr>
        <w:snapToGrid w:val="0"/>
        <w:rPr>
          <w:b/>
          <w:sz w:val="32"/>
        </w:rPr>
      </w:pPr>
      <w:r>
        <w:rPr>
          <w:rFonts w:hint="eastAsia"/>
          <w:b/>
          <w:sz w:val="32"/>
        </w:rPr>
        <w:t>银鲳鱼</w:t>
      </w:r>
    </w:p>
    <w:p w14:paraId="3C467012" w14:textId="0968174B" w:rsidR="0028768E" w:rsidRPr="00F54202" w:rsidRDefault="0028768E" w:rsidP="005533ED">
      <w:pPr>
        <w:snapToGrid w:val="0"/>
        <w:rPr>
          <w:sz w:val="28"/>
        </w:rPr>
      </w:pPr>
      <w:r>
        <w:rPr>
          <w:rFonts w:hint="eastAsia"/>
          <w:sz w:val="28"/>
        </w:rPr>
        <w:t>银鲳鱼是一种在海洋中分布广泛的经济鱼类。南海和东海的产量较多于黄海和渤海。为近海中上层鱼类，通常栖息于潮流缓慢水域，在阴影处成群活动，尤其在早晨和黄昏时会集中在水上层。历史上银鲳鱼多为兼捕对象，产量不高。但随着其他渔业资源的衰退，银鲳鱼资源得到进一步开发利用，产量上升。然而，由于过度捕捞，银鲳鱼资源面临压力，需要有效管理和保护。</w:t>
      </w:r>
    </w:p>
    <w:sectPr w:rsidR="0028768E" w:rsidRPr="00F54202" w:rsidSect="007B5A2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569"/>
    <w:rsid w:val="000E1712"/>
    <w:rsid w:val="0028768E"/>
    <w:rsid w:val="005533ED"/>
    <w:rsid w:val="006C1A0C"/>
    <w:rsid w:val="00702569"/>
    <w:rsid w:val="007B5A27"/>
    <w:rsid w:val="0089293C"/>
    <w:rsid w:val="00B176CB"/>
    <w:rsid w:val="00F54202"/>
  </w:rsids>
  <m:mathPr>
    <m:mathFont m:val="Cambria Math"/>
    <m:brkBin m:val="before"/>
    <m:brkBinSub m:val="--"/>
    <m:smallFrac/>
    <m:dispDef/>
    <m:lMargin m:val="1440"/>
    <m:rMargin m:val="144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1202"/>
  <w15:chartTrackingRefBased/>
  <w15:docId w15:val="{A247B957-58FB-784F-89D1-15990B0A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4202"/>
    <w:pPr>
      <w:widowControl w:val="0"/>
      <w:jc w:val="both"/>
    </w:pPr>
    <w:rPr>
      <w:sz w:val="8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Times New Roman"/>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MoolBoran"/>
        <a:font script="Syrc" typeface="Estrangelo Edessa"/>
        <a:font script="Thai" typeface="Angsana New"/>
        <a:font script="Gujr" typeface="Shruti"/>
        <a:font script="Lisu" typeface="Segoe UI"/>
        <a:font script="Uigh" typeface="Microsoft Uighur"/>
        <a:font script="Beng" typeface="Vrinda"/>
        <a:font script="Bopo" typeface="Microsoft JhengHei"/>
        <a:font script="Jpan" typeface="游ゴシック Light"/>
        <a:font script="Thaa" typeface="MV Boli"/>
        <a:font script="Cher" typeface="Plantagenet Cherokee"/>
        <a:font script="Hebr" typeface="Times New Roman"/>
        <a:font script="Yiii" typeface="Microsoft Yi Baiti"/>
        <a:font script="Armn" typeface="Arial"/>
        <a:font script="Guru" typeface="Raavi"/>
        <a:font script="Hans" typeface="等线 Light"/>
        <a:font script="Ethi" typeface="Nyala"/>
        <a:font script="Taml" typeface="Latha"/>
        <a:font script="Knda" typeface="Tunga"/>
        <a:font script="Bugi" typeface="Leelawadee UI"/>
        <a:font script="Arab" typeface="Times New Roman"/>
        <a:font script="Hant" typeface="新細明體"/>
      </a:majorFont>
      <a:minorFont>
        <a:latin typeface="等线" panose="020F0502020204030204"/>
        <a:ea typeface=""/>
        <a:cs typeface=""/>
        <a:font script="Tfng" typeface="Ebrima"/>
        <a:font script="Tale" typeface="Microsoft Tai Le"/>
        <a:font script="Sora" typeface="Nirmala UI"/>
        <a:font script="Osma" typeface="Ebrima"/>
        <a:font script="Syrj" typeface="Estrangelo Edessa"/>
        <a:font script="Olck" typeface="Nirmala UI"/>
        <a:font script="Nkoo" typeface="Ebrima"/>
        <a:font script="Mymr" typeface="Myanmar Text"/>
        <a:font script="Syre" typeface="Estrangelo Edessa"/>
        <a:font script="Java" typeface="Javanese Text"/>
        <a:font script="Talu" typeface="Microsoft New Tai Lue"/>
        <a:font script="Viet" typeface="Arial"/>
        <a:font script="Geor" typeface="Sylfaen"/>
        <a:font script="Sinh" typeface="Iskoola Pota"/>
        <a:font script="Laoo" typeface="DokChampa"/>
        <a:font script="Orya" typeface="Kalinga"/>
        <a:font script="Mong" typeface="Mongolian Baiti"/>
        <a:font script="Mlym" typeface="Kartika"/>
        <a:font script="Hang" typeface="맑은 고딕"/>
        <a:font script="Telu" typeface="Gautami"/>
        <a:font script="Deva" typeface="Mangal"/>
        <a:font script="Tibt" typeface="Microsoft Himalaya"/>
        <a:font script="Phag" typeface="Phagspa"/>
        <a:font script="Cans" typeface="Euphemia"/>
        <a:font script="Syrn" typeface="Estrangelo Edessa"/>
        <a:font script="Khmr" typeface="DaunPenh"/>
        <a:font script="Syrc" typeface="Estrangelo Edessa"/>
        <a:font script="Thai" typeface="Cordia New"/>
        <a:font script="Gujr" typeface="Shruti"/>
        <a:font script="Lisu" typeface="Segoe UI"/>
        <a:font script="Uigh" typeface="Microsoft Uighur"/>
        <a:font script="Beng" typeface="Vrinda"/>
        <a:font script="Bopo" typeface="Microsoft JhengHei"/>
        <a:font script="Jpan" typeface="游明朝"/>
        <a:font script="Thaa" typeface="MV Boli"/>
        <a:font script="Cher" typeface="Plantagenet Cherokee"/>
        <a:font script="Hebr" typeface="Arial"/>
        <a:font script="Yiii" typeface="Microsoft Yi Baiti"/>
        <a:font script="Armn" typeface="Arial"/>
        <a:font script="Guru" typeface="Raavi"/>
        <a:font script="Hans" typeface="等线"/>
        <a:font script="Ethi" typeface="Nyala"/>
        <a:font script="Taml" typeface="Latha"/>
        <a:font script="Knda" typeface="Tunga"/>
        <a:font script="Bugi" typeface="Leelawadee UI"/>
        <a:font script="Arab" typeface="Arial"/>
        <a:font script="Hant" typeface="新細明體"/>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T148778</dc:creator>
  <cp:keywords/>
  <dc:description/>
  <cp:lastModifiedBy>邓婧宜</cp:lastModifiedBy>
  <cp:revision>2</cp:revision>
  <dcterms:created xsi:type="dcterms:W3CDTF">2024-04-19T07:29:00Z</dcterms:created>
  <dcterms:modified xsi:type="dcterms:W3CDTF">2024-04-19T07:29:00Z</dcterms:modified>
</cp:coreProperties>
</file>