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C24FE" w14:textId="549E0DB4" w:rsidR="00562A93" w:rsidRPr="002F7C6B" w:rsidRDefault="00BA0DD3">
      <w:pPr>
        <w:rPr>
          <w:b/>
          <w:color w:val="4F81BD" w:themeColor="accent1"/>
          <w:sz w:val="32"/>
        </w:rPr>
      </w:pPr>
      <w:r w:rsidRPr="002F7C6B">
        <w:rPr>
          <w:b/>
          <w:color w:val="4F81BD" w:themeColor="accent1"/>
          <w:sz w:val="32"/>
        </w:rPr>
        <w:t>Quick Start</w:t>
      </w:r>
      <w:r w:rsidR="002F7C6B">
        <w:rPr>
          <w:b/>
          <w:color w:val="4F81BD" w:themeColor="accent1"/>
          <w:sz w:val="32"/>
        </w:rPr>
        <w:t xml:space="preserve"> Manual</w:t>
      </w:r>
      <w:r w:rsidRPr="002F7C6B">
        <w:rPr>
          <w:b/>
          <w:color w:val="4F81BD" w:themeColor="accent1"/>
          <w:sz w:val="32"/>
        </w:rPr>
        <w:t>:</w:t>
      </w:r>
    </w:p>
    <w:p w14:paraId="47A3EEFA" w14:textId="77777777" w:rsidR="00BA0DD3" w:rsidRDefault="00BA0DD3"/>
    <w:p w14:paraId="7713CA54" w14:textId="62F8982D" w:rsidR="00057841" w:rsidRDefault="00BA0DD3">
      <w:r>
        <w:t>The program is coded in MATLAB. To start, find file superangle.m in the software folder and run.</w:t>
      </w:r>
      <w:r w:rsidR="00057841">
        <w:t xml:space="preserve"> Then a graphic user interface will show up, as </w:t>
      </w:r>
      <w:r w:rsidR="00FB317D">
        <w:t>illustrated</w:t>
      </w:r>
      <w:r w:rsidR="00057841">
        <w:t xml:space="preserve"> below.</w:t>
      </w:r>
    </w:p>
    <w:p w14:paraId="4D45ECBB" w14:textId="77777777" w:rsidR="00057841" w:rsidRDefault="00057841"/>
    <w:p w14:paraId="0E979149" w14:textId="77777777" w:rsidR="00057841" w:rsidRDefault="0021158A">
      <w:r>
        <w:rPr>
          <w:noProof/>
        </w:rPr>
        <w:drawing>
          <wp:inline distT="0" distB="0" distL="0" distR="0" wp14:anchorId="31A5CFC3" wp14:editId="41203F4F">
            <wp:extent cx="5486400" cy="2425065"/>
            <wp:effectExtent l="0" t="0" r="0" b="0"/>
            <wp:docPr id="2" name="Picture 2" descr="Macintosh HD:Users:weizongxu1:Desktop:Screen Shot 2016-02-21 at 10.20.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eizongxu1:Desktop:Screen Shot 2016-02-21 at 10.20.0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25065"/>
                    </a:xfrm>
                    <a:prstGeom prst="rect">
                      <a:avLst/>
                    </a:prstGeom>
                    <a:noFill/>
                    <a:ln>
                      <a:noFill/>
                    </a:ln>
                  </pic:spPr>
                </pic:pic>
              </a:graphicData>
            </a:graphic>
          </wp:inline>
        </w:drawing>
      </w:r>
    </w:p>
    <w:p w14:paraId="67AD5EB4" w14:textId="77777777" w:rsidR="00057841" w:rsidRDefault="00057841" w:rsidP="00057841"/>
    <w:p w14:paraId="011720A5" w14:textId="77777777" w:rsidR="00057841" w:rsidRDefault="00057841" w:rsidP="00057841">
      <w:pPr>
        <w:jc w:val="both"/>
      </w:pPr>
      <w:r>
        <w:t xml:space="preserve">This software calculates: (a) Effective solid angle under specimen tilt and shift condition, (b) Counts ratio, (c) Absolute counts of two elements. </w:t>
      </w:r>
      <w:r w:rsidR="0021158A">
        <w:t xml:space="preserve">(d) Composition analysis based on counts/ratio method. </w:t>
      </w:r>
      <w:r>
        <w:t>It is based on numeric approach taking effects from multiple detector geometry, Be holder absorption. holder frame shadowing, and specimen absorption into consideration.</w:t>
      </w:r>
    </w:p>
    <w:p w14:paraId="6F4C1A14" w14:textId="77777777" w:rsidR="00057841" w:rsidRDefault="00057841" w:rsidP="00057841"/>
    <w:p w14:paraId="55915DB0" w14:textId="77777777" w:rsidR="0021158A" w:rsidRPr="0021158A" w:rsidRDefault="002424AE" w:rsidP="0021158A">
      <w:pPr>
        <w:widowControl w:val="0"/>
        <w:autoSpaceDE w:val="0"/>
        <w:autoSpaceDN w:val="0"/>
        <w:adjustRightInd w:val="0"/>
        <w:rPr>
          <w:rFonts w:ascii="Courier" w:hAnsi="Courier" w:cs="Times New Roman"/>
        </w:rPr>
      </w:pPr>
      <w:r>
        <w:t xml:space="preserve">For example, click </w:t>
      </w:r>
      <w:r w:rsidR="0021158A" w:rsidRPr="002424AE">
        <w:rPr>
          <w:u w:val="single"/>
        </w:rPr>
        <w:t>Browse</w:t>
      </w:r>
      <w:r w:rsidR="0021158A">
        <w:t xml:space="preserve"> bottom in the specimen information panel, choose file </w:t>
      </w:r>
      <w:r w:rsidR="0021158A" w:rsidRPr="0021158A">
        <w:t>“</w:t>
      </w:r>
      <w:r w:rsidR="0021158A" w:rsidRPr="0021158A">
        <w:rPr>
          <w:rFonts w:ascii="Courier" w:hAnsi="Courier" w:cs="Courier"/>
          <w:color w:val="A020F0"/>
        </w:rPr>
        <w:t>specimen_Ni3Al_demo.xlsx</w:t>
      </w:r>
      <w:r w:rsidR="0021158A">
        <w:t>“ as specimen information input.</w:t>
      </w:r>
    </w:p>
    <w:p w14:paraId="44C40806" w14:textId="77777777" w:rsidR="0021158A" w:rsidRDefault="0021158A" w:rsidP="00057841"/>
    <w:p w14:paraId="2F7494EA" w14:textId="77777777" w:rsidR="0021158A" w:rsidRDefault="0021158A" w:rsidP="007B43CF">
      <w:pPr>
        <w:jc w:val="center"/>
      </w:pPr>
      <w:r>
        <w:rPr>
          <w:noProof/>
        </w:rPr>
        <mc:AlternateContent>
          <mc:Choice Requires="wps">
            <w:drawing>
              <wp:anchor distT="0" distB="0" distL="114300" distR="114300" simplePos="0" relativeHeight="251659264" behindDoc="0" locked="0" layoutInCell="1" allowOverlap="1" wp14:anchorId="0D29A0E1" wp14:editId="09E76BD1">
                <wp:simplePos x="0" y="0"/>
                <wp:positionH relativeFrom="column">
                  <wp:posOffset>4572000</wp:posOffset>
                </wp:positionH>
                <wp:positionV relativeFrom="paragraph">
                  <wp:posOffset>1063625</wp:posOffset>
                </wp:positionV>
                <wp:extent cx="914400" cy="342900"/>
                <wp:effectExtent l="50800" t="25400" r="25400" b="114300"/>
                <wp:wrapNone/>
                <wp:docPr id="4" name="Oval 4"/>
                <wp:cNvGraphicFramePr/>
                <a:graphic xmlns:a="http://schemas.openxmlformats.org/drawingml/2006/main">
                  <a:graphicData uri="http://schemas.microsoft.com/office/word/2010/wordprocessingShape">
                    <wps:wsp>
                      <wps:cNvSpPr/>
                      <wps:spPr>
                        <a:xfrm>
                          <a:off x="0" y="0"/>
                          <a:ext cx="914400" cy="342900"/>
                        </a:xfrm>
                        <a:prstGeom prst="ellipse">
                          <a:avLst/>
                        </a:prstGeom>
                        <a:noFill/>
                        <a:ln w="22225"/>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5in;margin-top:83.75pt;width:1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" filled="f" strokecolor="#4579b8 [3044]" strokeweight="1.75pt">
                <v:shadow on="t" opacity="22937f" mv:blur="40000f" origin=",.5" offset="0,23000emu"/>
              </v:oval>
            </w:pict>
          </mc:Fallback>
        </mc:AlternateContent>
      </w:r>
      <w:r>
        <w:rPr>
          <w:noProof/>
        </w:rPr>
        <w:drawing>
          <wp:inline distT="0" distB="0" distL="0" distR="0" wp14:anchorId="5051E6C3" wp14:editId="5DBB1F2D">
            <wp:extent cx="5322771" cy="1484630"/>
            <wp:effectExtent l="0" t="0" r="11430" b="0"/>
            <wp:docPr id="3" name="Picture 3" descr="Macintosh HD:Users:weizongxu1:Desktop:Screen Shot 2016-02-21 at 10.20.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eizongxu1:Desktop:Screen Shot 2016-02-21 at 10.20.07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9541" t="25685" r="34935" b="51898"/>
                    <a:stretch/>
                  </pic:blipFill>
                  <pic:spPr bwMode="auto">
                    <a:xfrm>
                      <a:off x="0" y="0"/>
                      <a:ext cx="5335692" cy="1488234"/>
                    </a:xfrm>
                    <a:prstGeom prst="rect">
                      <a:avLst/>
                    </a:prstGeom>
                    <a:noFill/>
                    <a:ln>
                      <a:noFill/>
                    </a:ln>
                    <a:extLst>
                      <a:ext uri="{53640926-AAD7-44d8-BBD7-CCE9431645EC}">
                        <a14:shadowObscured xmlns:a14="http://schemas.microsoft.com/office/drawing/2010/main"/>
                      </a:ext>
                    </a:extLst>
                  </pic:spPr>
                </pic:pic>
              </a:graphicData>
            </a:graphic>
          </wp:inline>
        </w:drawing>
      </w:r>
    </w:p>
    <w:p w14:paraId="26819A78" w14:textId="77777777" w:rsidR="007B43CF" w:rsidRDefault="007B43CF" w:rsidP="00057841"/>
    <w:p w14:paraId="550FAFAE" w14:textId="6D821DC9" w:rsidR="00057841" w:rsidRDefault="007B43CF" w:rsidP="000A483B">
      <w:pPr>
        <w:jc w:val="both"/>
      </w:pPr>
      <w:r>
        <w:t xml:space="preserve">You will see parameters </w:t>
      </w:r>
      <w:r w:rsidR="00057841">
        <w:t xml:space="preserve">of </w:t>
      </w:r>
      <w:r>
        <w:t>specimen information be loaded from the file. The software also pre-loaded default Super-X detector parameters and FEI low background holder setting for calculation. These parameters can be further changed in the GUI interface via direct screen input or file input.</w:t>
      </w:r>
    </w:p>
    <w:p w14:paraId="55D387FE" w14:textId="77777777" w:rsidR="007B43CF" w:rsidRDefault="007B43CF" w:rsidP="007B43CF">
      <w:pPr>
        <w:pStyle w:val="ListParagraph"/>
        <w:numPr>
          <w:ilvl w:val="0"/>
          <w:numId w:val="2"/>
        </w:numPr>
      </w:pPr>
      <w:r>
        <w:t xml:space="preserve">Detector setting: </w:t>
      </w:r>
      <w:r w:rsidRPr="000A483B">
        <w:rPr>
          <w:rFonts w:ascii="Courier" w:hAnsi="Courier" w:cs="Courier"/>
          <w:color w:val="A020F0"/>
        </w:rPr>
        <w:t>detector.xlsx (or other names</w:t>
      </w:r>
      <w:r w:rsidR="000A483B">
        <w:rPr>
          <w:rFonts w:ascii="Courier" w:hAnsi="Courier" w:cs="Courier"/>
          <w:color w:val="A020F0"/>
        </w:rPr>
        <w:t>)</w:t>
      </w:r>
    </w:p>
    <w:p w14:paraId="2F14F6B0" w14:textId="77777777" w:rsidR="007B43CF" w:rsidRDefault="007B43CF" w:rsidP="007B43CF">
      <w:pPr>
        <w:pStyle w:val="ListParagraph"/>
        <w:numPr>
          <w:ilvl w:val="0"/>
          <w:numId w:val="2"/>
        </w:numPr>
      </w:pPr>
      <w:r>
        <w:t xml:space="preserve">Specimen information: </w:t>
      </w:r>
      <w:r w:rsidRPr="007B43CF">
        <w:rPr>
          <w:rFonts w:ascii="Courier" w:hAnsi="Courier" w:cs="Courier"/>
          <w:color w:val="A020F0"/>
        </w:rPr>
        <w:t>specimen_startup.xlsx (or other names)</w:t>
      </w:r>
    </w:p>
    <w:p w14:paraId="5248887E" w14:textId="77777777" w:rsidR="007B43CF" w:rsidRDefault="007B43CF" w:rsidP="007B43CF">
      <w:pPr>
        <w:pStyle w:val="ListParagraph"/>
        <w:numPr>
          <w:ilvl w:val="0"/>
          <w:numId w:val="2"/>
        </w:numPr>
      </w:pPr>
      <w:r>
        <w:t xml:space="preserve">Holder information: </w:t>
      </w:r>
      <w:r w:rsidRPr="007B43CF">
        <w:rPr>
          <w:rFonts w:ascii="Courier" w:hAnsi="Courier" w:cs="Courier"/>
          <w:color w:val="A020F0"/>
        </w:rPr>
        <w:t>holder_FEI_LB.xlsx</w:t>
      </w:r>
    </w:p>
    <w:p w14:paraId="43A91959" w14:textId="77777777" w:rsidR="007B43CF" w:rsidRDefault="007B43CF" w:rsidP="00057841"/>
    <w:p w14:paraId="493E416D" w14:textId="77777777" w:rsidR="007B43CF" w:rsidRDefault="000A483B" w:rsidP="00057841">
      <w:r>
        <w:t>To calculate, click functional bottoms in the RUN panel</w:t>
      </w:r>
    </w:p>
    <w:p w14:paraId="7460C11F" w14:textId="77777777" w:rsidR="000A483B" w:rsidRDefault="000A483B" w:rsidP="00057841"/>
    <w:p w14:paraId="3EDDA9E3" w14:textId="77777777" w:rsidR="000A483B" w:rsidRDefault="000A483B" w:rsidP="00057841">
      <w:r>
        <w:rPr>
          <w:noProof/>
        </w:rPr>
        <w:drawing>
          <wp:inline distT="0" distB="0" distL="0" distR="0" wp14:anchorId="5BB8080B" wp14:editId="3E19692F">
            <wp:extent cx="5409398" cy="901065"/>
            <wp:effectExtent l="0" t="0" r="1270" b="0"/>
            <wp:docPr id="5" name="Picture 5" descr="Macintosh HD:Users:weizongxu1:Desktop:Screen Shot 2016-02-21 at 10.20.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eizongxu1:Desktop:Screen Shot 2016-02-21 at 10.20.07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571" t="75079" r="37946" b="2504"/>
                    <a:stretch/>
                  </pic:blipFill>
                  <pic:spPr bwMode="auto">
                    <a:xfrm>
                      <a:off x="0" y="0"/>
                      <a:ext cx="5430626" cy="904601"/>
                    </a:xfrm>
                    <a:prstGeom prst="rect">
                      <a:avLst/>
                    </a:prstGeom>
                    <a:noFill/>
                    <a:ln>
                      <a:noFill/>
                    </a:ln>
                    <a:extLst>
                      <a:ext uri="{53640926-AAD7-44d8-BBD7-CCE9431645EC}">
                        <a14:shadowObscured xmlns:a14="http://schemas.microsoft.com/office/drawing/2010/main"/>
                      </a:ext>
                    </a:extLst>
                  </pic:spPr>
                </pic:pic>
              </a:graphicData>
            </a:graphic>
          </wp:inline>
        </w:drawing>
      </w:r>
    </w:p>
    <w:p w14:paraId="58CB4B65" w14:textId="77777777" w:rsidR="007B43CF" w:rsidRDefault="007B43CF" w:rsidP="00057841"/>
    <w:p w14:paraId="0A184B0B" w14:textId="77777777" w:rsidR="000A483B" w:rsidRPr="000A483B" w:rsidRDefault="000A483B">
      <w:pPr>
        <w:rPr>
          <w:color w:val="4F81BD" w:themeColor="accent1"/>
        </w:rPr>
      </w:pPr>
      <w:r w:rsidRPr="000A483B">
        <w:rPr>
          <w:color w:val="4F81BD" w:themeColor="accent1"/>
        </w:rPr>
        <w:t xml:space="preserve">(1) </w:t>
      </w:r>
      <w:r w:rsidRPr="000A483B">
        <w:rPr>
          <w:b/>
          <w:color w:val="4F81BD" w:themeColor="accent1"/>
        </w:rPr>
        <w:t>Single spot column</w:t>
      </w:r>
    </w:p>
    <w:p w14:paraId="6103A74E" w14:textId="77777777" w:rsidR="000A483B" w:rsidRDefault="000A483B">
      <w:r w:rsidRPr="00AE2F1F">
        <w:rPr>
          <w:u w:val="single"/>
        </w:rPr>
        <w:t>Solid Angle</w:t>
      </w:r>
      <w:r>
        <w:t>: calculate effective solid angle of A, B elements at single point</w:t>
      </w:r>
    </w:p>
    <w:p w14:paraId="64365205" w14:textId="77777777" w:rsidR="000A483B" w:rsidRDefault="000A483B" w:rsidP="002424AE">
      <w:pPr>
        <w:jc w:val="both"/>
      </w:pPr>
      <w:r w:rsidRPr="00AE2F1F">
        <w:rPr>
          <w:u w:val="single"/>
        </w:rPr>
        <w:t>Counts</w:t>
      </w:r>
      <w:r>
        <w:t>: calculate absolute counts of A, B elements at single point</w:t>
      </w:r>
    </w:p>
    <w:p w14:paraId="12F57F3B" w14:textId="77777777" w:rsidR="000A483B" w:rsidRDefault="000A483B" w:rsidP="000A483B">
      <w:r w:rsidRPr="00AE2F1F">
        <w:rPr>
          <w:u w:val="single"/>
        </w:rPr>
        <w:t>Composition</w:t>
      </w:r>
      <w:r>
        <w:t>: For unknown composition sample, composition will be calculated based on iteration method.</w:t>
      </w:r>
    </w:p>
    <w:p w14:paraId="6F1EC61C" w14:textId="77777777" w:rsidR="000A483B" w:rsidRDefault="000A483B"/>
    <w:p w14:paraId="0AA30B8C" w14:textId="77777777" w:rsidR="000A483B" w:rsidRPr="00AE2F1F" w:rsidRDefault="000A483B">
      <w:pPr>
        <w:rPr>
          <w:b/>
          <w:color w:val="4F81BD" w:themeColor="accent1"/>
        </w:rPr>
      </w:pPr>
      <w:r w:rsidRPr="00AE2F1F">
        <w:rPr>
          <w:b/>
          <w:color w:val="4F81BD" w:themeColor="accent1"/>
        </w:rPr>
        <w:t>(2) Tilt series column</w:t>
      </w:r>
    </w:p>
    <w:p w14:paraId="2BFEB893" w14:textId="77777777" w:rsidR="000A483B" w:rsidRDefault="00AE2F1F" w:rsidP="000A483B">
      <w:r w:rsidRPr="00AE2F1F">
        <w:rPr>
          <w:u w:val="single"/>
        </w:rPr>
        <w:t>Solid Angle</w:t>
      </w:r>
      <w:r w:rsidR="000A483B">
        <w:t xml:space="preserve">: calculate effective solid angle of A, B elements along X-tilt (alpha-tilt) or Y-tilt (Beta-tilt) series. X/Y-tilt can be setup in </w:t>
      </w:r>
      <w:r>
        <w:t xml:space="preserve">“Experimental Comparison” </w:t>
      </w:r>
      <w:r w:rsidR="000A483B">
        <w:t xml:space="preserve">panel. </w:t>
      </w:r>
    </w:p>
    <w:p w14:paraId="65FBBA83" w14:textId="33BD9F3B" w:rsidR="000A483B" w:rsidRDefault="00AE2F1F" w:rsidP="002424AE">
      <w:pPr>
        <w:jc w:val="both"/>
      </w:pPr>
      <w:r w:rsidRPr="00AE2F1F">
        <w:rPr>
          <w:u w:val="single"/>
        </w:rPr>
        <w:t>Counts</w:t>
      </w:r>
      <w:r w:rsidR="000A483B">
        <w:t>: calculate absolute counts of A, B elements along X-tilt (alpha-tilt) or Y-tilt (Beta-tilt) series.</w:t>
      </w:r>
      <w:r>
        <w:t xml:space="preserve"> To compare with experimental results, dataset must be input in the “Experimental Comparison” panel.</w:t>
      </w:r>
    </w:p>
    <w:p w14:paraId="052F2F00" w14:textId="77777777" w:rsidR="000A483B" w:rsidRDefault="000A483B" w:rsidP="002424AE">
      <w:pPr>
        <w:jc w:val="both"/>
      </w:pPr>
      <w:r w:rsidRPr="00AE2F1F">
        <w:rPr>
          <w:u w:val="single"/>
        </w:rPr>
        <w:t>Compo</w:t>
      </w:r>
      <w:r w:rsidR="00AE2F1F" w:rsidRPr="00AE2F1F">
        <w:rPr>
          <w:u w:val="single"/>
        </w:rPr>
        <w:t>sition</w:t>
      </w:r>
      <w:r>
        <w:t xml:space="preserve">: </w:t>
      </w:r>
      <w:r w:rsidR="00AE2F1F">
        <w:t>If composition is</w:t>
      </w:r>
      <w:r>
        <w:t xml:space="preserve"> unknown, composition will be calculated based on iteration method.</w:t>
      </w:r>
      <w:r w:rsidR="00AE2F1F">
        <w:t xml:space="preserve"> For known composition condition, comparison between experimental counts/ratio and model prediction will be analyzed.</w:t>
      </w:r>
    </w:p>
    <w:p w14:paraId="7E2ACCB1" w14:textId="77777777" w:rsidR="000A483B" w:rsidRDefault="000A483B"/>
    <w:p w14:paraId="4AFB9D42" w14:textId="77777777" w:rsidR="000A483B" w:rsidRPr="00AE2F1F" w:rsidRDefault="00AE2F1F">
      <w:pPr>
        <w:rPr>
          <w:b/>
          <w:color w:val="4F81BD" w:themeColor="accent1"/>
        </w:rPr>
      </w:pPr>
      <w:r w:rsidRPr="00AE2F1F">
        <w:rPr>
          <w:b/>
          <w:color w:val="4F81BD" w:themeColor="accent1"/>
        </w:rPr>
        <w:t>(3) 2D map (X-Y-tilt)</w:t>
      </w:r>
    </w:p>
    <w:p w14:paraId="31CCC9AA" w14:textId="77777777" w:rsidR="00AE2F1F" w:rsidRDefault="00AE2F1F" w:rsidP="002424AE">
      <w:pPr>
        <w:jc w:val="both"/>
      </w:pPr>
      <w:r w:rsidRPr="00AE2F1F">
        <w:rPr>
          <w:u w:val="single"/>
        </w:rPr>
        <w:t>Solid Angle</w:t>
      </w:r>
      <w:r>
        <w:t>: calculate 2D map of effective solid angle of A, B elements along X-Y-tilt. Tilt range and step size must be set in the “RUN” panel. The calculation may take long time to finish.</w:t>
      </w:r>
    </w:p>
    <w:p w14:paraId="18614CB0" w14:textId="77777777" w:rsidR="00AE2F1F" w:rsidRDefault="00AE2F1F" w:rsidP="00AE2F1F">
      <w:r w:rsidRPr="00AE2F1F">
        <w:rPr>
          <w:u w:val="single"/>
        </w:rPr>
        <w:t>Counts</w:t>
      </w:r>
      <w:r>
        <w:t>: calculate 2D map of absolute counts.</w:t>
      </w:r>
    </w:p>
    <w:p w14:paraId="67C7ABD1" w14:textId="77777777" w:rsidR="000A483B" w:rsidRDefault="000A483B"/>
    <w:p w14:paraId="72174D62" w14:textId="77777777" w:rsidR="00AE2F1F" w:rsidRPr="00AE2F1F" w:rsidRDefault="00AE2F1F" w:rsidP="00AE2F1F">
      <w:pPr>
        <w:rPr>
          <w:b/>
          <w:color w:val="4F81BD" w:themeColor="accent1"/>
        </w:rPr>
      </w:pPr>
      <w:r>
        <w:rPr>
          <w:b/>
          <w:color w:val="4F81BD" w:themeColor="accent1"/>
        </w:rPr>
        <w:t>(4</w:t>
      </w:r>
      <w:r w:rsidRPr="00AE2F1F">
        <w:rPr>
          <w:b/>
          <w:color w:val="4F81BD" w:themeColor="accent1"/>
        </w:rPr>
        <w:t>) 2D map (X-Y-</w:t>
      </w:r>
      <w:r>
        <w:rPr>
          <w:b/>
          <w:color w:val="4F81BD" w:themeColor="accent1"/>
        </w:rPr>
        <w:t>shift</w:t>
      </w:r>
      <w:r w:rsidRPr="00AE2F1F">
        <w:rPr>
          <w:b/>
          <w:color w:val="4F81BD" w:themeColor="accent1"/>
        </w:rPr>
        <w:t>)</w:t>
      </w:r>
    </w:p>
    <w:p w14:paraId="0300AE5A" w14:textId="77777777" w:rsidR="00AE2F1F" w:rsidRDefault="00AE2F1F" w:rsidP="002424AE">
      <w:pPr>
        <w:jc w:val="both"/>
      </w:pPr>
      <w:r w:rsidRPr="00AE2F1F">
        <w:rPr>
          <w:u w:val="single"/>
        </w:rPr>
        <w:t>Solid Angle</w:t>
      </w:r>
      <w:r>
        <w:t>: calculate 2D map of effective solid angle of A, B elements along X-Y-shift. Shift range and size must be set in the “RUN” panel. The calculation may take long time to finish.</w:t>
      </w:r>
    </w:p>
    <w:p w14:paraId="4C2D6F03" w14:textId="77777777" w:rsidR="00AE2F1F" w:rsidRDefault="00AE2F1F" w:rsidP="00AE2F1F">
      <w:r w:rsidRPr="00AE2F1F">
        <w:rPr>
          <w:u w:val="single"/>
        </w:rPr>
        <w:t>Counts</w:t>
      </w:r>
      <w:r>
        <w:t>: calculate 2D map of absolute counts.</w:t>
      </w:r>
    </w:p>
    <w:p w14:paraId="0608A867" w14:textId="77777777" w:rsidR="00AE2F1F" w:rsidRDefault="00AE2F1F"/>
    <w:p w14:paraId="15312786" w14:textId="39C9DE46" w:rsidR="00AE2F1F" w:rsidRPr="00AE2F1F" w:rsidRDefault="00AE2F1F" w:rsidP="002424AE">
      <w:pPr>
        <w:jc w:val="both"/>
        <w:rPr>
          <w:b/>
          <w:color w:val="4F81BD" w:themeColor="accent1"/>
        </w:rPr>
      </w:pPr>
      <w:r>
        <w:rPr>
          <w:b/>
          <w:color w:val="4F81BD" w:themeColor="accent1"/>
        </w:rPr>
        <w:t>Tips:</w:t>
      </w:r>
      <w:r w:rsidRPr="00AE2F1F">
        <w:rPr>
          <w:b/>
          <w:color w:val="4F81BD" w:themeColor="accent1"/>
        </w:rPr>
        <w:t xml:space="preserve"> </w:t>
      </w:r>
      <w:r>
        <w:rPr>
          <w:b/>
          <w:color w:val="4F81BD" w:themeColor="accent1"/>
        </w:rPr>
        <w:t xml:space="preserve">To save time, choose </w:t>
      </w:r>
      <w:r w:rsidRPr="00AE2F1F">
        <w:rPr>
          <w:b/>
          <w:color w:val="4F81BD" w:themeColor="accent1"/>
          <w:u w:val="single"/>
        </w:rPr>
        <w:t>Display figures from calculated data</w:t>
      </w:r>
      <w:r>
        <w:rPr>
          <w:b/>
          <w:color w:val="4F81BD" w:themeColor="accent1"/>
        </w:rPr>
        <w:t xml:space="preserve"> to re-draw the calculated 1D/2D figures. Click </w:t>
      </w:r>
      <w:r w:rsidRPr="00AE2F1F">
        <w:rPr>
          <w:b/>
          <w:color w:val="4F81BD" w:themeColor="accent1"/>
          <w:u w:val="single"/>
        </w:rPr>
        <w:t>Clear All Figures</w:t>
      </w:r>
      <w:r w:rsidRPr="00AE2F1F">
        <w:rPr>
          <w:b/>
          <w:color w:val="4F81BD" w:themeColor="accent1"/>
        </w:rPr>
        <w:t xml:space="preserve"> t</w:t>
      </w:r>
      <w:r>
        <w:rPr>
          <w:b/>
          <w:color w:val="4F81BD" w:themeColor="accent1"/>
        </w:rPr>
        <w:t>o close all open figures.</w:t>
      </w:r>
      <w:r w:rsidR="002424AE">
        <w:rPr>
          <w:b/>
          <w:color w:val="4F81BD" w:themeColor="accent1"/>
        </w:rPr>
        <w:t xml:space="preserve"> You can save figure</w:t>
      </w:r>
      <w:r w:rsidR="000124A8">
        <w:rPr>
          <w:b/>
          <w:color w:val="4F81BD" w:themeColor="accent1"/>
        </w:rPr>
        <w:t>s</w:t>
      </w:r>
      <w:r w:rsidR="002424AE">
        <w:rPr>
          <w:b/>
          <w:color w:val="4F81BD" w:themeColor="accent1"/>
        </w:rPr>
        <w:t xml:space="preserve"> into file</w:t>
      </w:r>
      <w:r w:rsidR="000124A8">
        <w:rPr>
          <w:b/>
          <w:color w:val="4F81BD" w:themeColor="accent1"/>
        </w:rPr>
        <w:t>s</w:t>
      </w:r>
      <w:r w:rsidR="002424AE">
        <w:rPr>
          <w:b/>
          <w:color w:val="4F81BD" w:themeColor="accent1"/>
        </w:rPr>
        <w:t xml:space="preserve"> when choose </w:t>
      </w:r>
      <w:r w:rsidR="002424AE" w:rsidRPr="002424AE">
        <w:rPr>
          <w:b/>
          <w:color w:val="4F81BD" w:themeColor="accent1"/>
          <w:u w:val="single"/>
        </w:rPr>
        <w:t>Figure output</w:t>
      </w:r>
      <w:r w:rsidR="002424AE">
        <w:rPr>
          <w:b/>
          <w:color w:val="4F81BD" w:themeColor="accent1"/>
        </w:rPr>
        <w:t xml:space="preserve">. Click </w:t>
      </w:r>
      <w:r w:rsidR="002424AE" w:rsidRPr="002424AE">
        <w:rPr>
          <w:b/>
          <w:color w:val="4F81BD" w:themeColor="accent1"/>
          <w:u w:val="single"/>
        </w:rPr>
        <w:t>Update Info</w:t>
      </w:r>
      <w:r w:rsidR="002424AE">
        <w:rPr>
          <w:b/>
          <w:color w:val="4F81BD" w:themeColor="accent1"/>
        </w:rPr>
        <w:t xml:space="preserve"> to get updates from MATLAB command window.</w:t>
      </w:r>
    </w:p>
    <w:p w14:paraId="19C60AB0" w14:textId="77777777" w:rsidR="00AE2F1F" w:rsidRDefault="00AE2F1F"/>
    <w:p w14:paraId="5D94AE98" w14:textId="77777777" w:rsidR="002424AE" w:rsidRDefault="002424AE"/>
    <w:p w14:paraId="2BFAE0F3" w14:textId="77777777" w:rsidR="002424AE" w:rsidRDefault="002424AE"/>
    <w:p w14:paraId="52949B0D" w14:textId="77777777" w:rsidR="002424AE" w:rsidRDefault="002424AE"/>
    <w:p w14:paraId="2A0D1438" w14:textId="77777777" w:rsidR="002424AE" w:rsidRDefault="002424AE"/>
    <w:p w14:paraId="52CD81A8" w14:textId="77777777" w:rsidR="002424AE" w:rsidRDefault="002424AE"/>
    <w:p w14:paraId="30F3F7A7" w14:textId="21038D7C" w:rsidR="00AE2F1F" w:rsidRPr="000124A8" w:rsidRDefault="002424AE">
      <w:pPr>
        <w:rPr>
          <w:b/>
          <w:color w:val="4F81BD" w:themeColor="accent1"/>
          <w:sz w:val="28"/>
        </w:rPr>
      </w:pPr>
      <w:r w:rsidRPr="000124A8">
        <w:rPr>
          <w:b/>
          <w:color w:val="4F81BD" w:themeColor="accent1"/>
          <w:sz w:val="28"/>
        </w:rPr>
        <w:t>Something beyond demo: How to change setting</w:t>
      </w:r>
      <w:r w:rsidR="001019BB">
        <w:rPr>
          <w:b/>
          <w:color w:val="4F81BD" w:themeColor="accent1"/>
          <w:sz w:val="28"/>
        </w:rPr>
        <w:t>s</w:t>
      </w:r>
      <w:r w:rsidRPr="000124A8">
        <w:rPr>
          <w:b/>
          <w:color w:val="4F81BD" w:themeColor="accent1"/>
          <w:sz w:val="28"/>
        </w:rPr>
        <w:t xml:space="preserve"> for your sample</w:t>
      </w:r>
      <w:r w:rsidR="001019BB">
        <w:rPr>
          <w:b/>
          <w:color w:val="4F81BD" w:themeColor="accent1"/>
          <w:sz w:val="28"/>
        </w:rPr>
        <w:t>?</w:t>
      </w:r>
    </w:p>
    <w:p w14:paraId="1A70918B" w14:textId="77777777" w:rsidR="002424AE" w:rsidRDefault="002424AE"/>
    <w:p w14:paraId="6B8C4D19" w14:textId="77777777" w:rsidR="00057841" w:rsidRPr="000124A8" w:rsidRDefault="00057841">
      <w:pPr>
        <w:rPr>
          <w:b/>
          <w:color w:val="4F81BD" w:themeColor="accent1"/>
        </w:rPr>
      </w:pPr>
      <w:r w:rsidRPr="000124A8">
        <w:rPr>
          <w:b/>
          <w:color w:val="4F81BD" w:themeColor="accent1"/>
        </w:rPr>
        <w:t>1. Detector configuration</w:t>
      </w:r>
    </w:p>
    <w:p w14:paraId="00769C7D" w14:textId="77777777" w:rsidR="00057841" w:rsidRDefault="00057841"/>
    <w:p w14:paraId="615E2A2B" w14:textId="77777777" w:rsidR="002424AE" w:rsidRDefault="002424AE">
      <w:r>
        <w:t>dAngle control the accuracy of the calculation. For typical calculation, 0.2 degree is recommended for convergent data. 0.5 degree is also chosen for fast calculation with sacrificing much accuracy.</w:t>
      </w:r>
      <w:r w:rsidRPr="002424AE">
        <w:t xml:space="preserve"> </w:t>
      </w:r>
    </w:p>
    <w:p w14:paraId="7484ADC1" w14:textId="77777777" w:rsidR="002424AE" w:rsidRDefault="002424AE"/>
    <w:p w14:paraId="0C11C76F" w14:textId="62296BF4" w:rsidR="007A4CCD" w:rsidRDefault="002424AE" w:rsidP="007A4CCD">
      <w:r>
        <w:t xml:space="preserve">Super-X four-quadrant detector configuration has been set as default configuration in the code. To further modify, open </w:t>
      </w:r>
      <w:r w:rsidRPr="000A483B">
        <w:rPr>
          <w:rFonts w:ascii="Courier" w:hAnsi="Courier" w:cs="Courier"/>
          <w:color w:val="A020F0"/>
        </w:rPr>
        <w:t>detector.xlsx</w:t>
      </w:r>
      <w:r>
        <w:rPr>
          <w:rFonts w:ascii="Courier" w:hAnsi="Courier" w:cs="Courier"/>
          <w:color w:val="A020F0"/>
        </w:rPr>
        <w:t xml:space="preserve"> </w:t>
      </w:r>
      <w:r w:rsidR="00381685">
        <w:t>and</w:t>
      </w:r>
      <w:r>
        <w:t xml:space="preserve"> change setting</w:t>
      </w:r>
      <w:r w:rsidR="00381685">
        <w:t>s</w:t>
      </w:r>
      <w:r>
        <w:t xml:space="preserve">. </w:t>
      </w:r>
      <w:r w:rsidR="00381685">
        <w:t xml:space="preserve"> Note: the code support one to multiple detectors setting.</w:t>
      </w:r>
      <w:r w:rsidR="007A4CCD" w:rsidRPr="007A4CCD">
        <w:t xml:space="preserve"> </w:t>
      </w:r>
    </w:p>
    <w:p w14:paraId="6A1F5C5C" w14:textId="77777777" w:rsidR="007A4CCD" w:rsidRDefault="007A4CCD" w:rsidP="007A4CCD"/>
    <w:p w14:paraId="211C9FC1" w14:textId="55A3CA1A" w:rsidR="007A4CCD" w:rsidRDefault="007A4CCD" w:rsidP="007A4CCD">
      <w:r>
        <w:t>Detector efficiencies for windowless SDD detector in Titan are incorporated in</w:t>
      </w:r>
      <w:r w:rsidRPr="007A4CCD">
        <w:t xml:space="preserve"> </w:t>
      </w:r>
      <w:r w:rsidRPr="007A4CCD">
        <w:rPr>
          <w:rFonts w:ascii="Courier" w:hAnsi="Courier" w:cs="Courier"/>
          <w:color w:val="A020F0"/>
        </w:rPr>
        <w:t>SDD_windowless_efficiency.xlsx</w:t>
      </w:r>
      <w:r>
        <w:t xml:space="preserve">. </w:t>
      </w:r>
    </w:p>
    <w:p w14:paraId="13EF1FFE" w14:textId="77777777" w:rsidR="002F7C6B" w:rsidRDefault="002F7C6B" w:rsidP="007A4CCD"/>
    <w:p w14:paraId="57AB0600" w14:textId="699876B7" w:rsidR="002F7C6B" w:rsidRDefault="002F7C6B" w:rsidP="007A4CCD">
      <w:r>
        <w:t>Below is the orientation setting of the detector for your reference</w:t>
      </w:r>
    </w:p>
    <w:p w14:paraId="571206B7" w14:textId="77777777" w:rsidR="002F7C6B" w:rsidRDefault="002F7C6B" w:rsidP="007A4CCD"/>
    <w:p w14:paraId="329F7BA5" w14:textId="149B826E"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=======Coordinate========</w:t>
      </w:r>
    </w:p>
    <w:p w14:paraId="2B573E23" w14:textId="2CE77042"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Titan G2 ChemiSTEM</w:t>
      </w:r>
    </w:p>
    <w:p w14:paraId="4CF78C59" w14:textId="45CA5397"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Y+</w:t>
      </w:r>
    </w:p>
    <w:p w14:paraId="4FCFFEAF" w14:textId="7DF5A9DC"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796A5CEF" w14:textId="54824D3D"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D1   |     D2  </w:t>
      </w:r>
    </w:p>
    <w:p w14:paraId="007C231B" w14:textId="25DA01CA"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135deg |   45deg</w:t>
      </w:r>
    </w:p>
    <w:p w14:paraId="355B740A" w14:textId="37837A0D"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(Z)-----X+</w:t>
      </w:r>
    </w:p>
    <w:p w14:paraId="107F6413" w14:textId="49EE0C21"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022EF3FA" w14:textId="4C542BCC"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D4         D3</w:t>
      </w:r>
    </w:p>
    <w:p w14:paraId="5E526917" w14:textId="54211AD5"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225deg     315deg</w:t>
      </w:r>
    </w:p>
    <w:p w14:paraId="1A968073" w14:textId="150F4289"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1ACA697C" w14:textId="05783D7E"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190F3B53" w14:textId="77777777" w:rsidR="002F7C6B" w:rsidRDefault="002F7C6B" w:rsidP="007A4CCD"/>
    <w:p w14:paraId="1320D4BC" w14:textId="77777777" w:rsidR="007A4CCD" w:rsidRDefault="007A4CCD"/>
    <w:p w14:paraId="6A35DD97" w14:textId="77777777" w:rsidR="007A4CCD" w:rsidRPr="003D132D" w:rsidRDefault="007A4CCD">
      <w:pPr>
        <w:rPr>
          <w:b/>
          <w:color w:val="4F81BD" w:themeColor="accent1"/>
        </w:rPr>
      </w:pPr>
      <w:r w:rsidRPr="003D132D">
        <w:rPr>
          <w:b/>
          <w:color w:val="4F81BD" w:themeColor="accent1"/>
        </w:rPr>
        <w:t>2. Sample information</w:t>
      </w:r>
    </w:p>
    <w:p w14:paraId="4A26AC78" w14:textId="77777777" w:rsidR="007A4CCD" w:rsidRDefault="007A4CCD"/>
    <w:p w14:paraId="6D8DF514" w14:textId="16D699F3" w:rsidR="007A4CCD" w:rsidRDefault="007A4CCD" w:rsidP="006544D5">
      <w:r>
        <w:t xml:space="preserve">Absorption coefficient is fully incorporated in the software. The value can be found in </w:t>
      </w:r>
      <w:r w:rsidRPr="007A4CCD">
        <w:rPr>
          <w:rFonts w:ascii="Courier" w:hAnsi="Courier" w:cs="Courier"/>
          <w:color w:val="A020F0"/>
        </w:rPr>
        <w:t>Absorption coefficient_K.xlsx</w:t>
      </w:r>
      <w:r>
        <w:t xml:space="preserve">, </w:t>
      </w:r>
      <w:r w:rsidRPr="007A4CCD">
        <w:rPr>
          <w:rFonts w:ascii="Courier" w:hAnsi="Courier" w:cs="Courier"/>
          <w:color w:val="A020F0"/>
        </w:rPr>
        <w:t>Ab</w:t>
      </w:r>
      <w:r>
        <w:rPr>
          <w:rFonts w:ascii="Courier" w:hAnsi="Courier" w:cs="Courier"/>
          <w:color w:val="A020F0"/>
        </w:rPr>
        <w:t>sorption coefficient_L.</w:t>
      </w:r>
      <w:r w:rsidRPr="007A4CCD">
        <w:rPr>
          <w:rFonts w:ascii="Courier" w:hAnsi="Courier" w:cs="Courier"/>
          <w:color w:val="A020F0"/>
        </w:rPr>
        <w:t>xlsx</w:t>
      </w:r>
      <w:r>
        <w:t xml:space="preserve"> and </w:t>
      </w:r>
      <w:r w:rsidRPr="007A4CCD">
        <w:rPr>
          <w:rFonts w:ascii="Courier" w:hAnsi="Courier" w:cs="Courier"/>
          <w:color w:val="A020F0"/>
        </w:rPr>
        <w:t>Absorption coefficient_M.xlsx</w:t>
      </w:r>
      <w:r>
        <w:t xml:space="preserve">. </w:t>
      </w:r>
      <w:r w:rsidRPr="002F7C6B">
        <w:rPr>
          <w:u w:val="single"/>
        </w:rPr>
        <w:t>However, ioni</w:t>
      </w:r>
      <w:r w:rsidR="004675A1" w:rsidRPr="002F7C6B">
        <w:rPr>
          <w:u w:val="single"/>
        </w:rPr>
        <w:t>zation</w:t>
      </w:r>
      <w:r w:rsidRPr="002F7C6B">
        <w:rPr>
          <w:u w:val="single"/>
        </w:rPr>
        <w:t xml:space="preserve"> cros</w:t>
      </w:r>
      <w:r w:rsidR="004675A1" w:rsidRPr="002F7C6B">
        <w:rPr>
          <w:u w:val="single"/>
        </w:rPr>
        <w:t>s-</w:t>
      </w:r>
      <w:r w:rsidRPr="002F7C6B">
        <w:rPr>
          <w:u w:val="single"/>
        </w:rPr>
        <w:t>section and fluorescence yield data for elements are not incorporated.</w:t>
      </w:r>
      <w:r>
        <w:t xml:space="preserve"> To calculate counts/counts ratio, these info must be added into </w:t>
      </w:r>
      <w:r w:rsidRPr="007A4CCD">
        <w:rPr>
          <w:rFonts w:ascii="Courier" w:hAnsi="Courier" w:cs="Courier"/>
          <w:color w:val="A020F0"/>
        </w:rPr>
        <w:t>Atomic_info.xlsx</w:t>
      </w:r>
      <w:r>
        <w:t xml:space="preserve"> first. Note: the effective solid can still be calculated without knowing these values.</w:t>
      </w:r>
    </w:p>
    <w:p w14:paraId="23F9358F" w14:textId="77777777" w:rsidR="007A4CCD" w:rsidRDefault="007A4CCD"/>
    <w:p w14:paraId="59D3D571" w14:textId="76902BD9" w:rsidR="006544D5" w:rsidRDefault="006544D5">
      <w:r>
        <w:t>It is recommended to use a well-</w:t>
      </w:r>
      <w:r w:rsidR="002F7C6B">
        <w:t>known</w:t>
      </w:r>
      <w:r w:rsidR="007A4CCD">
        <w:t xml:space="preserve"> shape sample (FIB grid) to calibrated </w:t>
      </w:r>
      <w:r>
        <w:t xml:space="preserve">center of specimen shift from the readings in TIA software. </w:t>
      </w:r>
    </w:p>
    <w:p w14:paraId="22C79B04" w14:textId="77777777" w:rsidR="006544D5" w:rsidRDefault="006544D5"/>
    <w:p w14:paraId="5E92A1B2" w14:textId="5FFBC56B" w:rsidR="006544D5" w:rsidRDefault="006544D5" w:rsidP="006544D5">
      <w:pPr>
        <w:jc w:val="both"/>
      </w:pPr>
      <w:r>
        <w:t xml:space="preserve">The calculation </w:t>
      </w:r>
      <w:r w:rsidRPr="006544D5">
        <w:t>does not require wedge angle as input, but does require the knowledge of inclination angle between specimen (top surface) and the primary axis of the holder in the absorption correction calculation. For FIB sample with simple geometry, the inclination angle can be considered close to zero degree. For wedge shaped sample, the inclination angle is different from wedge angle and cannot be directly measured as it changes with grid mounting and specimen local distortion specifically at thin areas. Strictly speaking, the inclination angle is an immeasurable (or unknown) parameter for wedge shaped sample from external measurement. Alternatively, an internal way</w:t>
      </w:r>
      <w:r>
        <w:t xml:space="preserve"> is recommended here</w:t>
      </w:r>
      <w:r w:rsidRPr="006544D5">
        <w:t xml:space="preserve"> to estimate the value of inclination angle by searching the smallest deviation between calculation and experimental results from both counts and counts ratios at different tilt angles</w:t>
      </w:r>
      <w:r>
        <w:t xml:space="preserve"> series</w:t>
      </w:r>
      <w:r w:rsidRPr="006544D5">
        <w:t>.</w:t>
      </w:r>
      <w:r>
        <w:t xml:space="preserve"> </w:t>
      </w:r>
      <w:r>
        <w:rPr>
          <w:rFonts w:hint="eastAsia"/>
        </w:rPr>
        <w:t>T</w:t>
      </w:r>
      <w:r w:rsidRPr="006544D5">
        <w:rPr>
          <w:rFonts w:hint="eastAsia"/>
        </w:rPr>
        <w:t xml:space="preserve">he </w:t>
      </w:r>
      <w:r w:rsidRPr="006544D5">
        <w:t>inclination angle</w:t>
      </w:r>
      <w:r w:rsidRPr="006544D5">
        <w:rPr>
          <w:rFonts w:hint="eastAsia"/>
        </w:rPr>
        <w:t xml:space="preserve"> can be considered as an internally calibrated parameter </w:t>
      </w:r>
      <w:r w:rsidRPr="006544D5">
        <w:t>via tilt series prior to any further EDS quantification at local region of interest.</w:t>
      </w:r>
    </w:p>
    <w:p w14:paraId="5C218678" w14:textId="77777777" w:rsidR="003D132D" w:rsidRDefault="003D132D" w:rsidP="006544D5">
      <w:pPr>
        <w:jc w:val="both"/>
      </w:pPr>
    </w:p>
    <w:p w14:paraId="0D3090EC" w14:textId="77777777" w:rsidR="003D132D" w:rsidRDefault="003D132D" w:rsidP="006544D5">
      <w:pPr>
        <w:jc w:val="both"/>
      </w:pPr>
    </w:p>
    <w:p w14:paraId="7650DEC9" w14:textId="1BACAE3B" w:rsidR="004675A1" w:rsidRPr="003D132D" w:rsidRDefault="004675A1" w:rsidP="006544D5">
      <w:pPr>
        <w:jc w:val="both"/>
        <w:rPr>
          <w:b/>
          <w:color w:val="4F81BD" w:themeColor="accent1"/>
        </w:rPr>
      </w:pPr>
      <w:r w:rsidRPr="003D132D">
        <w:rPr>
          <w:b/>
          <w:color w:val="4F81BD" w:themeColor="accent1"/>
        </w:rPr>
        <w:t>3. Holder information</w:t>
      </w:r>
    </w:p>
    <w:p w14:paraId="2B691BA5" w14:textId="77777777" w:rsidR="003D132D" w:rsidRPr="003D132D" w:rsidRDefault="003D132D" w:rsidP="006544D5">
      <w:pPr>
        <w:jc w:val="both"/>
        <w:rPr>
          <w:color w:val="4F81BD" w:themeColor="accent1"/>
        </w:rPr>
      </w:pPr>
    </w:p>
    <w:p w14:paraId="4AA4E027" w14:textId="3CAC68AC" w:rsidR="004675A1" w:rsidRDefault="004675A1" w:rsidP="006544D5">
      <w:pPr>
        <w:jc w:val="both"/>
      </w:pPr>
      <w:r>
        <w:t>The current version supports FEI low background holder. For other types of holder, code modification might be needed for accurate prediction. The tilt limit of the holder should be less than 35 degree. Considering the possibility that sample may mount on the grid. The grid beam-blocking scenario is also considered in the calculation as long as the grid setting is properly set.</w:t>
      </w:r>
    </w:p>
    <w:p w14:paraId="518823A3" w14:textId="77777777" w:rsidR="004675A1" w:rsidRDefault="004675A1" w:rsidP="006544D5">
      <w:pPr>
        <w:jc w:val="both"/>
      </w:pPr>
    </w:p>
    <w:p w14:paraId="2129446B" w14:textId="2DE34DD3" w:rsidR="004675A1" w:rsidRPr="003D132D" w:rsidRDefault="004675A1" w:rsidP="004675A1">
      <w:pPr>
        <w:rPr>
          <w:b/>
          <w:color w:val="4F81BD" w:themeColor="accent1"/>
        </w:rPr>
      </w:pPr>
      <w:r w:rsidRPr="003D132D">
        <w:rPr>
          <w:b/>
          <w:color w:val="4F81BD" w:themeColor="accent1"/>
        </w:rPr>
        <w:t>4. Experiment information</w:t>
      </w:r>
    </w:p>
    <w:p w14:paraId="76E442CB" w14:textId="77777777" w:rsidR="004675A1" w:rsidRDefault="004675A1" w:rsidP="004675A1"/>
    <w:p w14:paraId="47327CA3" w14:textId="4F804A21" w:rsidR="004675A1" w:rsidRDefault="004675A1" w:rsidP="004675A1">
      <w:r>
        <w:t xml:space="preserve">Live acquisition time will vary with dwell time setting. It must be read from raw data or EDS software. It is not the total time of data acquisition </w:t>
      </w:r>
      <w:r w:rsidR="00034546">
        <w:t>in experimental</w:t>
      </w:r>
      <w:r>
        <w:t>.</w:t>
      </w:r>
    </w:p>
    <w:p w14:paraId="6ECBF2AA" w14:textId="77777777" w:rsidR="004675A1" w:rsidRDefault="004675A1" w:rsidP="006544D5">
      <w:pPr>
        <w:jc w:val="both"/>
      </w:pPr>
    </w:p>
    <w:p w14:paraId="39FF3C85" w14:textId="77777777" w:rsidR="003D132D" w:rsidRDefault="003D132D" w:rsidP="006544D5">
      <w:pPr>
        <w:jc w:val="both"/>
      </w:pPr>
    </w:p>
    <w:p w14:paraId="0FC19402" w14:textId="77777777" w:rsidR="003D132D" w:rsidRDefault="003D132D" w:rsidP="006544D5">
      <w:pPr>
        <w:jc w:val="both"/>
      </w:pPr>
    </w:p>
    <w:p w14:paraId="6948EEAA" w14:textId="0E97248F" w:rsidR="00FF1BCD" w:rsidRPr="00FF1BCD" w:rsidRDefault="00FF1BCD" w:rsidP="003D132D">
      <w:pPr>
        <w:jc w:val="both"/>
        <w:rPr>
          <w:b/>
          <w:color w:val="4F81BD" w:themeColor="accent1"/>
          <w:sz w:val="28"/>
        </w:rPr>
      </w:pPr>
      <w:r w:rsidRPr="00FF1BCD">
        <w:rPr>
          <w:b/>
          <w:color w:val="4F81BD" w:themeColor="accent1"/>
          <w:sz w:val="28"/>
        </w:rPr>
        <w:t>Citation Reference</w:t>
      </w:r>
    </w:p>
    <w:p w14:paraId="3E744C12" w14:textId="77777777" w:rsidR="00FF1BCD" w:rsidRDefault="00FF1BCD" w:rsidP="003D132D">
      <w:pPr>
        <w:jc w:val="both"/>
        <w:rPr>
          <w:b/>
          <w:color w:val="4F81BD" w:themeColor="accent1"/>
        </w:rPr>
      </w:pPr>
    </w:p>
    <w:p w14:paraId="2B32E98C" w14:textId="2DF8D79C" w:rsidR="00FF1BCD" w:rsidRPr="00FF1BCD" w:rsidRDefault="00FF1BCD" w:rsidP="003D132D">
      <w:pPr>
        <w:jc w:val="both"/>
        <w:rPr>
          <w:color w:val="000000" w:themeColor="text1"/>
        </w:rPr>
      </w:pPr>
      <w:r w:rsidRPr="00FF1BCD">
        <w:rPr>
          <w:color w:val="000000" w:themeColor="text1"/>
        </w:rPr>
        <w:t xml:space="preserve">The authors request that any published work or images created </w:t>
      </w:r>
      <w:r w:rsidRPr="00FF1BCD">
        <w:rPr>
          <w:color w:val="000000" w:themeColor="text1"/>
        </w:rPr>
        <w:t xml:space="preserve">using </w:t>
      </w:r>
      <w:r w:rsidRPr="00FF1BCD">
        <w:rPr>
          <w:color w:val="000000" w:themeColor="text1"/>
        </w:rPr>
        <w:t>SuperAngle include the following reference:</w:t>
      </w:r>
    </w:p>
    <w:p w14:paraId="2D6E3874" w14:textId="77777777" w:rsidR="00FF1BCD" w:rsidRPr="00FF1BCD" w:rsidRDefault="00FF1BCD" w:rsidP="003D132D">
      <w:pPr>
        <w:jc w:val="both"/>
        <w:rPr>
          <w:color w:val="000000" w:themeColor="text1"/>
        </w:rPr>
      </w:pPr>
    </w:p>
    <w:p w14:paraId="1B3473B8" w14:textId="1C6BA941" w:rsidR="003D132D" w:rsidRPr="00FF1BCD" w:rsidRDefault="00FF1BCD" w:rsidP="003D132D">
      <w:pPr>
        <w:jc w:val="both"/>
        <w:rPr>
          <w:color w:val="000000" w:themeColor="text1"/>
        </w:rPr>
      </w:pPr>
      <w:r w:rsidRPr="00FF1BCD">
        <w:rPr>
          <w:color w:val="000000" w:themeColor="text1"/>
        </w:rPr>
        <w:t xml:space="preserve">W. Xu, J.H. Dycus, X. Sang, J.M. Lebeau, </w:t>
      </w:r>
      <w:r w:rsidR="003D132D" w:rsidRPr="00FF1BCD">
        <w:rPr>
          <w:color w:val="000000" w:themeColor="text1"/>
        </w:rPr>
        <w:t>A Numerical Model for Multiple Detector Energy Dispersive X-ray Spectroscopy in the Transmission Electron Microscope", Ultramicroscopy, 2016, in press.</w:t>
      </w:r>
    </w:p>
    <w:p w14:paraId="705055E4" w14:textId="77777777" w:rsidR="00034546" w:rsidRPr="00FF1BCD" w:rsidRDefault="00034546" w:rsidP="003D132D">
      <w:pPr>
        <w:jc w:val="both"/>
        <w:rPr>
          <w:color w:val="000000" w:themeColor="text1"/>
        </w:rPr>
      </w:pPr>
    </w:p>
    <w:p w14:paraId="27B28B0E" w14:textId="078D590D" w:rsidR="002F7C6B" w:rsidRPr="00FF1BCD" w:rsidRDefault="002F7C6B" w:rsidP="003D132D">
      <w:pPr>
        <w:jc w:val="both"/>
        <w:rPr>
          <w:color w:val="000000" w:themeColor="text1"/>
        </w:rPr>
      </w:pPr>
      <w:r w:rsidRPr="00FF1BCD">
        <w:rPr>
          <w:color w:val="000000" w:themeColor="text1"/>
        </w:rPr>
        <w:t>_____________</w:t>
      </w:r>
      <w:bookmarkStart w:id="0" w:name="_GoBack"/>
      <w:bookmarkEnd w:id="0"/>
      <w:r w:rsidRPr="00FF1BCD">
        <w:rPr>
          <w:color w:val="000000" w:themeColor="text1"/>
        </w:rPr>
        <w:t>_______________</w:t>
      </w:r>
    </w:p>
    <w:p w14:paraId="54FBEC2F" w14:textId="2EEAA768" w:rsidR="00034546" w:rsidRPr="00FF1BCD" w:rsidRDefault="003D132D" w:rsidP="003D132D">
      <w:pPr>
        <w:jc w:val="both"/>
        <w:rPr>
          <w:color w:val="000000" w:themeColor="text1"/>
        </w:rPr>
      </w:pPr>
      <w:r w:rsidRPr="00FF1BCD">
        <w:rPr>
          <w:color w:val="000000" w:themeColor="text1"/>
        </w:rPr>
        <w:t xml:space="preserve">For </w:t>
      </w:r>
      <w:r w:rsidR="008E72A9" w:rsidRPr="00FF1BCD">
        <w:rPr>
          <w:color w:val="000000" w:themeColor="text1"/>
        </w:rPr>
        <w:t>more</w:t>
      </w:r>
      <w:r w:rsidRPr="00FF1BCD">
        <w:rPr>
          <w:color w:val="000000" w:themeColor="text1"/>
        </w:rPr>
        <w:t xml:space="preserve"> information and suggestions, please contact: </w:t>
      </w:r>
    </w:p>
    <w:p w14:paraId="5FA0B7B1" w14:textId="2057A0EB" w:rsidR="00034546" w:rsidRPr="00FF1BCD" w:rsidRDefault="003D132D" w:rsidP="003D132D">
      <w:pPr>
        <w:jc w:val="both"/>
        <w:rPr>
          <w:color w:val="000000" w:themeColor="text1"/>
        </w:rPr>
      </w:pPr>
      <w:r w:rsidRPr="00FF1BCD">
        <w:rPr>
          <w:color w:val="000000" w:themeColor="text1"/>
        </w:rPr>
        <w:t xml:space="preserve">James M. LeBeau (jmlebeau@ncsu.edu) </w:t>
      </w:r>
    </w:p>
    <w:p w14:paraId="48851599" w14:textId="5CC52D2A" w:rsidR="006767A3" w:rsidRPr="00FF1BCD" w:rsidRDefault="006767A3" w:rsidP="003D132D">
      <w:pPr>
        <w:jc w:val="both"/>
        <w:rPr>
          <w:color w:val="000000" w:themeColor="text1"/>
        </w:rPr>
      </w:pPr>
      <w:r w:rsidRPr="00FF1BCD">
        <w:rPr>
          <w:color w:val="000000" w:themeColor="text1"/>
        </w:rPr>
        <w:t>Weizong Xu (wxu4@ncsu.edu)</w:t>
      </w:r>
    </w:p>
    <w:sectPr w:rsidR="006767A3" w:rsidRPr="00FF1BCD" w:rsidSect="008D40F2">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FCC56" w14:textId="77777777" w:rsidR="003D132D" w:rsidRDefault="003D132D" w:rsidP="003D132D">
      <w:r>
        <w:separator/>
      </w:r>
    </w:p>
  </w:endnote>
  <w:endnote w:type="continuationSeparator" w:id="0">
    <w:p w14:paraId="697E929D" w14:textId="77777777" w:rsidR="003D132D" w:rsidRDefault="003D132D" w:rsidP="003D1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3DBC5" w14:textId="77777777" w:rsidR="003D132D" w:rsidRDefault="003D132D" w:rsidP="003D1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2E16AE" w14:textId="77777777" w:rsidR="003D132D" w:rsidRDefault="003D132D" w:rsidP="003D132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2EF75" w14:textId="77777777" w:rsidR="003D132D" w:rsidRDefault="003D132D" w:rsidP="003D1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1BCD">
      <w:rPr>
        <w:rStyle w:val="PageNumber"/>
        <w:noProof/>
      </w:rPr>
      <w:t>1</w:t>
    </w:r>
    <w:r>
      <w:rPr>
        <w:rStyle w:val="PageNumber"/>
      </w:rPr>
      <w:fldChar w:fldCharType="end"/>
    </w:r>
  </w:p>
  <w:p w14:paraId="0F3DE756" w14:textId="77777777" w:rsidR="003D132D" w:rsidRDefault="003D132D" w:rsidP="003D132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1A855" w14:textId="77777777" w:rsidR="003D132D" w:rsidRDefault="003D132D" w:rsidP="003D132D">
      <w:r>
        <w:separator/>
      </w:r>
    </w:p>
  </w:footnote>
  <w:footnote w:type="continuationSeparator" w:id="0">
    <w:p w14:paraId="68DDE3B3" w14:textId="77777777" w:rsidR="003D132D" w:rsidRDefault="003D132D" w:rsidP="003D13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3E7A5" w14:textId="49B5A4F6" w:rsidR="002F7C6B" w:rsidRPr="002F7C6B" w:rsidRDefault="002F7C6B">
    <w:pPr>
      <w:pStyle w:val="Header"/>
      <w:rPr>
        <w:sz w:val="22"/>
      </w:rPr>
    </w:pPr>
    <w:r w:rsidRPr="002F7C6B">
      <w:rPr>
        <w:sz w:val="22"/>
      </w:rPr>
      <w:t xml:space="preserve">SuperAngle </w:t>
    </w:r>
    <w:r>
      <w:rPr>
        <w:sz w:val="22"/>
      </w:rPr>
      <w:t xml:space="preserve">v1.20GUI </w:t>
    </w:r>
    <w:r w:rsidRPr="002F7C6B">
      <w:rPr>
        <w:sz w:val="22"/>
      </w:rPr>
      <w:t>Manual</w:t>
    </w:r>
    <w:r>
      <w:rPr>
        <w:sz w:val="22"/>
      </w:rPr>
      <w:tab/>
    </w:r>
    <w:r>
      <w:rPr>
        <w:sz w:val="22"/>
      </w:rPr>
      <w:tab/>
      <w:t>Feb.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D4FFA"/>
    <w:multiLevelType w:val="hybridMultilevel"/>
    <w:tmpl w:val="08F02684"/>
    <w:lvl w:ilvl="0" w:tplc="E7CE47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5158CF"/>
    <w:multiLevelType w:val="hybridMultilevel"/>
    <w:tmpl w:val="87123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DD3"/>
    <w:rsid w:val="000124A8"/>
    <w:rsid w:val="00034546"/>
    <w:rsid w:val="00057841"/>
    <w:rsid w:val="000A483B"/>
    <w:rsid w:val="001019BB"/>
    <w:rsid w:val="001B6146"/>
    <w:rsid w:val="0021158A"/>
    <w:rsid w:val="002424AE"/>
    <w:rsid w:val="002F4834"/>
    <w:rsid w:val="002F7C6B"/>
    <w:rsid w:val="00381685"/>
    <w:rsid w:val="003D132D"/>
    <w:rsid w:val="004675A1"/>
    <w:rsid w:val="00562A93"/>
    <w:rsid w:val="006544D5"/>
    <w:rsid w:val="006767A3"/>
    <w:rsid w:val="007A4CCD"/>
    <w:rsid w:val="007B43CF"/>
    <w:rsid w:val="008D40F2"/>
    <w:rsid w:val="008E72A9"/>
    <w:rsid w:val="00AE2F1F"/>
    <w:rsid w:val="00B213EE"/>
    <w:rsid w:val="00BA0DD3"/>
    <w:rsid w:val="00FB317D"/>
    <w:rsid w:val="00FF1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D83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8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7841"/>
    <w:rPr>
      <w:rFonts w:ascii="Lucida Grande" w:hAnsi="Lucida Grande" w:cs="Lucida Grande"/>
      <w:sz w:val="18"/>
      <w:szCs w:val="18"/>
    </w:rPr>
  </w:style>
  <w:style w:type="paragraph" w:styleId="ListParagraph">
    <w:name w:val="List Paragraph"/>
    <w:basedOn w:val="Normal"/>
    <w:uiPriority w:val="34"/>
    <w:qFormat/>
    <w:rsid w:val="00057841"/>
    <w:pPr>
      <w:ind w:left="720"/>
      <w:contextualSpacing/>
    </w:pPr>
  </w:style>
  <w:style w:type="paragraph" w:styleId="Header">
    <w:name w:val="header"/>
    <w:basedOn w:val="Normal"/>
    <w:link w:val="HeaderChar"/>
    <w:uiPriority w:val="99"/>
    <w:unhideWhenUsed/>
    <w:rsid w:val="003D132D"/>
    <w:pPr>
      <w:tabs>
        <w:tab w:val="center" w:pos="4320"/>
        <w:tab w:val="right" w:pos="8640"/>
      </w:tabs>
    </w:pPr>
  </w:style>
  <w:style w:type="character" w:customStyle="1" w:styleId="HeaderChar">
    <w:name w:val="Header Char"/>
    <w:basedOn w:val="DefaultParagraphFont"/>
    <w:link w:val="Header"/>
    <w:uiPriority w:val="99"/>
    <w:rsid w:val="003D132D"/>
  </w:style>
  <w:style w:type="paragraph" w:styleId="Footer">
    <w:name w:val="footer"/>
    <w:basedOn w:val="Normal"/>
    <w:link w:val="FooterChar"/>
    <w:uiPriority w:val="99"/>
    <w:unhideWhenUsed/>
    <w:rsid w:val="003D132D"/>
    <w:pPr>
      <w:tabs>
        <w:tab w:val="center" w:pos="4320"/>
        <w:tab w:val="right" w:pos="8640"/>
      </w:tabs>
    </w:pPr>
  </w:style>
  <w:style w:type="character" w:customStyle="1" w:styleId="FooterChar">
    <w:name w:val="Footer Char"/>
    <w:basedOn w:val="DefaultParagraphFont"/>
    <w:link w:val="Footer"/>
    <w:uiPriority w:val="99"/>
    <w:rsid w:val="003D132D"/>
  </w:style>
  <w:style w:type="character" w:styleId="PageNumber">
    <w:name w:val="page number"/>
    <w:basedOn w:val="DefaultParagraphFont"/>
    <w:uiPriority w:val="99"/>
    <w:semiHidden/>
    <w:unhideWhenUsed/>
    <w:rsid w:val="003D132D"/>
  </w:style>
  <w:style w:type="character" w:styleId="Hyperlink">
    <w:name w:val="Hyperlink"/>
    <w:basedOn w:val="DefaultParagraphFont"/>
    <w:uiPriority w:val="99"/>
    <w:unhideWhenUsed/>
    <w:rsid w:val="003D13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8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7841"/>
    <w:rPr>
      <w:rFonts w:ascii="Lucida Grande" w:hAnsi="Lucida Grande" w:cs="Lucida Grande"/>
      <w:sz w:val="18"/>
      <w:szCs w:val="18"/>
    </w:rPr>
  </w:style>
  <w:style w:type="paragraph" w:styleId="ListParagraph">
    <w:name w:val="List Paragraph"/>
    <w:basedOn w:val="Normal"/>
    <w:uiPriority w:val="34"/>
    <w:qFormat/>
    <w:rsid w:val="00057841"/>
    <w:pPr>
      <w:ind w:left="720"/>
      <w:contextualSpacing/>
    </w:pPr>
  </w:style>
  <w:style w:type="paragraph" w:styleId="Header">
    <w:name w:val="header"/>
    <w:basedOn w:val="Normal"/>
    <w:link w:val="HeaderChar"/>
    <w:uiPriority w:val="99"/>
    <w:unhideWhenUsed/>
    <w:rsid w:val="003D132D"/>
    <w:pPr>
      <w:tabs>
        <w:tab w:val="center" w:pos="4320"/>
        <w:tab w:val="right" w:pos="8640"/>
      </w:tabs>
    </w:pPr>
  </w:style>
  <w:style w:type="character" w:customStyle="1" w:styleId="HeaderChar">
    <w:name w:val="Header Char"/>
    <w:basedOn w:val="DefaultParagraphFont"/>
    <w:link w:val="Header"/>
    <w:uiPriority w:val="99"/>
    <w:rsid w:val="003D132D"/>
  </w:style>
  <w:style w:type="paragraph" w:styleId="Footer">
    <w:name w:val="footer"/>
    <w:basedOn w:val="Normal"/>
    <w:link w:val="FooterChar"/>
    <w:uiPriority w:val="99"/>
    <w:unhideWhenUsed/>
    <w:rsid w:val="003D132D"/>
    <w:pPr>
      <w:tabs>
        <w:tab w:val="center" w:pos="4320"/>
        <w:tab w:val="right" w:pos="8640"/>
      </w:tabs>
    </w:pPr>
  </w:style>
  <w:style w:type="character" w:customStyle="1" w:styleId="FooterChar">
    <w:name w:val="Footer Char"/>
    <w:basedOn w:val="DefaultParagraphFont"/>
    <w:link w:val="Footer"/>
    <w:uiPriority w:val="99"/>
    <w:rsid w:val="003D132D"/>
  </w:style>
  <w:style w:type="character" w:styleId="PageNumber">
    <w:name w:val="page number"/>
    <w:basedOn w:val="DefaultParagraphFont"/>
    <w:uiPriority w:val="99"/>
    <w:semiHidden/>
    <w:unhideWhenUsed/>
    <w:rsid w:val="003D132D"/>
  </w:style>
  <w:style w:type="character" w:styleId="Hyperlink">
    <w:name w:val="Hyperlink"/>
    <w:basedOn w:val="DefaultParagraphFont"/>
    <w:uiPriority w:val="99"/>
    <w:unhideWhenUsed/>
    <w:rsid w:val="003D13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7F162-5766-124C-9C46-60458E096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981</Words>
  <Characters>5593</Characters>
  <Application>Microsoft Macintosh Word</Application>
  <DocSecurity>0</DocSecurity>
  <Lines>46</Lines>
  <Paragraphs>13</Paragraphs>
  <ScaleCrop>false</ScaleCrop>
  <Company/>
  <LinksUpToDate>false</LinksUpToDate>
  <CharactersWithSpaces>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Weizong Xu</dc:creator>
  <cp:keywords/>
  <dc:description/>
  <cp:lastModifiedBy>Weizong Xu</cp:lastModifiedBy>
  <cp:revision>15</cp:revision>
  <dcterms:created xsi:type="dcterms:W3CDTF">2016-02-22T02:39:00Z</dcterms:created>
  <dcterms:modified xsi:type="dcterms:W3CDTF">2016-02-22T04:57:00Z</dcterms:modified>
</cp:coreProperties>
</file>