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Arial" w:hAnsi="Arial"/>
          <w:b/>
          <w:color w:val="0F172A"/>
          <w:sz w:val="36"/>
        </w:rPr>
        <w:t>LatticeForge: Exact Capability-Covered Tool Routing and Multi-Objective Pareto Optimization for Large Language Model Agents</w:t>
      </w:r>
    </w:p>
    <w:p>
      <w:pPr>
        <w:spacing w:after="280"/>
        <w:jc w:val="center"/>
      </w:pPr>
      <w:r>
        <w:rPr>
          <w:rFonts w:ascii="Arial" w:hAnsi="Arial"/>
          <w:i/>
          <w:color w:val="475569"/>
          <w:sz w:val="22"/>
        </w:rPr>
        <w:t>A Discrete Mathematical Framework Eliminating Semantic Retrieval Failure in Autonomous Tool-Use Architectures</w:t>
        <w:br/>
      </w:r>
    </w:p>
    <w:p>
      <w:pPr>
        <w:spacing w:after="360"/>
        <w:jc w:val="center"/>
      </w:pPr>
      <w:r>
        <w:rPr>
          <w:rFonts w:ascii="Times New Roman" w:hAnsi="Times New Roman"/>
          <w:color w:val="64748B"/>
          <w:sz w:val="20"/>
        </w:rPr>
        <w:t>[Author Names Withheld for Peer Review / Team Draft]</w:t>
        <w:br/>
        <w:t>Department of Computer Science and Engineering</w:t>
        <w:br/>
        <w:t>Major Project Research Report &amp; Working Draft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ABSTRACT</w:t>
              <w:br/>
            </w:r>
            <w:r>
              <w:rPr>
                <w:rFonts w:ascii="Times New Roman" w:hAnsi="Times New Roman"/>
                <w:color w:val="334155"/>
                <w:sz w:val="19"/>
              </w:rPr>
              <w:t>Abstract—Autonomous Large Language Model (LLM) agents increasingly rely on external tools and APIs to interact with the physical and digital worlds. However, standard tool retrieval paradigms—predominantly vector database embeddings and top-k cosine similarity (Dense RAG)—suffer from a catastrophic structural vulnerability: semantic distraction and attribute blindness. When a multi-faceted task requires composite, orthogonal capabilities (e.g., SQL execution, PDF extraction, and Web scraping), semantic vector retrieval frequently prioritizes linguistic overlap over functional completeness, dropping critical tools and causing downstream execution failures or hallucinated bypasses.</w:t>
              <w:br/>
              <w:br/>
              <w:t>To resolve this fundamental flaw, we introduce LatticeForge, a rigorous discrete-mathematical framework for deterministic tool routing and dynamic model selection. LatticeForge models the agent's capability universe as a Formal Context (G, M, I) and employs Formal Concept Analysis (FCA) to compute the Galois Closure of task capability requirements. This provides a provable guarantee that the retrieved concept completely covers every necessary technical attribute while minimizing context bloat. Furthermore, LatticeForge couples Galois closure with a Multi-Objective Pareto Frontier Engine that optimizes downstream model execution across competing objectives (empirical output quality, end-to-end latency, and financial token cost) via weighted L2 distance from an ideal reference point. Finally, LatticeForge introduces autonomous self-refactoring mechanisms capable of mathematically proving tool redundancies and identifying capability gaps across the lattice without human intervention. In rigorous empirical evaluations against adversarial capability traps using Meta's Llama-3.3-70B model, LatticeForge achieves 100% capability coverage and valid execution completion, whereas standard vector search degrades to 0% success due to systematic tool dropping.</w:t>
            </w:r>
          </w:p>
        </w:tc>
      </w:tr>
    </w:tbl>
    <w:p>
      <w:pPr>
        <w:spacing w:after="80"/>
      </w:pPr>
    </w:p>
    <w:p>
      <w:pPr>
        <w:spacing w:after="280"/>
      </w:pPr>
      <w:r>
        <w:rPr>
          <w:rFonts w:ascii="Times New Roman" w:hAnsi="Times New Roman"/>
          <w:b/>
          <w:sz w:val="20"/>
        </w:rPr>
        <w:t xml:space="preserve">Keywords: </w:t>
      </w:r>
      <w:r>
        <w:rPr>
          <w:rFonts w:ascii="Times New Roman" w:hAnsi="Times New Roman"/>
          <w:i/>
          <w:sz w:val="20"/>
        </w:rPr>
        <w:t>Formal Concept Analysis, Large Language Model Agents, Galois Closure, Tool Retrieval, Pareto Optimization, Discrete Mathematics, Multi-Objective Routing, Autonomous Self-Refactoring.</w:t>
      </w:r>
    </w:p>
    <w:p>
      <w:pPr>
        <w:pStyle w:val="Heading1"/>
        <w:keepNext/>
        <w:spacing w:before="320" w:after="120"/>
      </w:pPr>
      <w:r>
        <w:rPr>
          <w:rFonts w:ascii="Arial" w:hAnsi="Arial"/>
          <w:b/>
          <w:color w:val="0F172A"/>
          <w:sz w:val="26"/>
        </w:rPr>
        <w:t>1. Introduction</w:t>
      </w:r>
    </w:p>
    <w:p>
      <w:pPr>
        <w:spacing w:line="276" w:lineRule="auto" w:after="120"/>
      </w:pPr>
      <w:r>
        <w:rPr>
          <w:rFonts w:ascii="Times New Roman" w:hAnsi="Times New Roman"/>
          <w:i w:val="0"/>
          <w:color w:val="1E293B"/>
          <w:sz w:val="21"/>
        </w:rPr>
        <w:t>Large Language Models (LLMs) have evolved from passive conversational interfaces into autonomous cognitive agents capable of executing complex, multi-step workflows across distributed software ecosystems [1, 2]. By interfacing with external tools—including databases, compilers, web scrapers, and domain-specific APIs—agents overcome inherent limitations in arithmetic precision, temporal currency, and state mutability [3]. Frameworks such as ReAct [4], Toolformer [5], and AutoGPT have popularized patterns wherein an agent observes a user prompt, reasons about required actions, selects pertinent tools from an external registry, and executes those tools sequentially until the task objective is fulfilled.</w:t>
      </w:r>
    </w:p>
    <w:p>
      <w:pPr>
        <w:spacing w:line="276" w:lineRule="auto" w:after="120"/>
      </w:pPr>
      <w:r>
        <w:rPr>
          <w:rFonts w:ascii="Times New Roman" w:hAnsi="Times New Roman"/>
          <w:i w:val="0"/>
          <w:color w:val="1E293B"/>
          <w:sz w:val="21"/>
        </w:rPr>
        <w:t>As enterprise registries expand from dozens to hundreds of specialized microservices, injecting the schemas of all available tools directly into the LLM's prompt window becomes computationally intractable and financially prohibitive. Large context windows induce quadratic attention costs, degrade reasoning fidelity due to the 'needle-in-a-haystack' phenomenon, and risk catastrophic tool misuse [6]. Consequently, the contemporary industry standard delegates tool selection to a two-stage architecture: a pre-retrieval module queries an external vector index to extract the 'Top-K' most semantically relevant tool specifications, which are then formatted into the system prompt of the executing model [7].</w:t>
      </w:r>
    </w:p>
    <w:p>
      <w:pPr>
        <w:pStyle w:val="Heading2"/>
        <w:keepNext/>
        <w:spacing w:before="240" w:after="80"/>
      </w:pPr>
      <w:r>
        <w:rPr>
          <w:rFonts w:ascii="Arial" w:hAnsi="Arial"/>
          <w:b/>
          <w:color w:val="1E293B"/>
          <w:sz w:val="22"/>
        </w:rPr>
        <w:t>1.1 The Failure Modes of Vector Search (Dense RAG)</w:t>
      </w:r>
    </w:p>
    <w:p>
      <w:pPr>
        <w:spacing w:line="276" w:lineRule="auto" w:after="120"/>
      </w:pPr>
      <w:r>
        <w:rPr>
          <w:rFonts w:ascii="Times New Roman" w:hAnsi="Times New Roman"/>
          <w:i w:val="0"/>
          <w:color w:val="1E293B"/>
          <w:sz w:val="21"/>
        </w:rPr>
        <w:t>Despite its ubiquity, dense vector retrieval suffers from an inherent, insurmountable mathematical flaw when applied to functional tool selection: semantic similarity does not equal functional necessity. Vector retrieval embeds linguistic descriptions into continuous latent spaces using models trained on textual similarity benchmarks. However, technical execution requires discrete, Boolean capability satisfaction. Consider the following failure topologies:</w:t>
      </w:r>
    </w:p>
    <w:p>
      <w:pPr>
        <w:spacing w:line="276" w:lineRule="auto" w:after="120"/>
      </w:pPr>
      <w:r>
        <w:rPr>
          <w:rFonts w:ascii="Times New Roman" w:hAnsi="Times New Roman"/>
          <w:b/>
          <w:sz w:val="21"/>
        </w:rPr>
        <w:t xml:space="preserve">• Semantic Distraction and Keyword Flooding: </w:t>
      </w:r>
      <w:r>
        <w:rPr>
          <w:rFonts w:ascii="Times New Roman" w:hAnsi="Times New Roman"/>
          <w:i w:val="0"/>
          <w:color w:val="1E293B"/>
          <w:sz w:val="21"/>
        </w:rPr>
        <w:t>When an agent receives a multi-faceted prompt such as: 'Query the production database for active subscribers and analyze the churn rate statistics,' the prompt contains strong linguistic signals toward 'analyze' and 'statistics'. A dense vector index (or TF-IDF baseline) readily retrieves a Python sandbox and a conversational analytics assistant because their textual descriptions heavily emphasize mathematical modeling. Consequently, the critical tool—the SQL Database Connector—is ranked below the Top-K threshold. When handed this incomplete toolset, the downstream LLM either crashes with a tool-absence exception or, more dangerously, hallucinates synthetic subscriber data to proceed, corrupting organizational decision-making.</w:t>
      </w:r>
    </w:p>
    <w:p>
      <w:pPr>
        <w:spacing w:line="276" w:lineRule="auto" w:after="120"/>
      </w:pPr>
      <w:r>
        <w:rPr>
          <w:rFonts w:ascii="Times New Roman" w:hAnsi="Times New Roman"/>
          <w:b/>
          <w:sz w:val="21"/>
        </w:rPr>
        <w:t xml:space="preserve">• Rigid Top-K Capability Blindness: </w:t>
      </w:r>
      <w:r>
        <w:rPr>
          <w:rFonts w:ascii="Times New Roman" w:hAnsi="Times New Roman"/>
          <w:i w:val="0"/>
          <w:color w:val="1E293B"/>
          <w:sz w:val="21"/>
        </w:rPr>
        <w:t>If a composite task demands three distinct capabilities—for example: (i) PDF parsing, (ii) code execution, and (iii) database querying—a fixed retrieval budget of K=2 is mathematically guaranteed to drop at least one prerequisite capability. Furthermore, increasing K does not solve the problem: it introduces irrelevant, semantically similar distractors that dilute the agent's context and inflate latency.</w:t>
      </w:r>
    </w:p>
    <w:p>
      <w:pPr>
        <w:pStyle w:val="Heading2"/>
        <w:keepNext/>
        <w:spacing w:before="240" w:after="80"/>
      </w:pPr>
      <w:r>
        <w:rPr>
          <w:rFonts w:ascii="Arial" w:hAnsi="Arial"/>
          <w:b/>
          <w:color w:val="1E293B"/>
          <w:sz w:val="22"/>
        </w:rPr>
        <w:t>1.2 The LatticeForge Solution &amp; Contributions</w:t>
      </w:r>
    </w:p>
    <w:p>
      <w:pPr>
        <w:spacing w:line="276" w:lineRule="auto" w:after="120"/>
      </w:pPr>
      <w:r>
        <w:rPr>
          <w:rFonts w:ascii="Times New Roman" w:hAnsi="Times New Roman"/>
          <w:i w:val="0"/>
          <w:color w:val="1E293B"/>
          <w:sz w:val="21"/>
        </w:rPr>
        <w:t>To eliminate these systemic vulnerabilities, this paper introduces LatticeForge. Instead of treating tool discovery as an approximate textual similarity search, LatticeForge formalizes tool routing as a discrete mathematical lattice coverage problem governed by Formal Concept Analysis (FCA) [8]. Specifically, our contributions include:</w:t>
      </w:r>
    </w:p>
    <w:p>
      <w:pPr>
        <w:spacing w:line="276" w:lineRule="auto" w:after="120"/>
      </w:pPr>
      <w:r>
        <w:rPr>
          <w:rFonts w:ascii="Times New Roman" w:hAnsi="Times New Roman"/>
          <w:b/>
          <w:sz w:val="21"/>
        </w:rPr>
        <w:t xml:space="preserve">1. Mathematical Guarantee of Capability Coverage: </w:t>
      </w:r>
      <w:r>
        <w:rPr>
          <w:rFonts w:ascii="Times New Roman" w:hAnsi="Times New Roman"/>
          <w:i w:val="0"/>
          <w:color w:val="1E293B"/>
          <w:sz w:val="21"/>
        </w:rPr>
        <w:t>We formalize the tool-capability ecosystem as a Formal Context (G, M, I), where tools represent formal objects and capabilities represent formal attributes. By applying Galois derivation operators, LatticeForge computes the Galois Closure B'' for any incoming task specification, guaranteeing that every required technical attribute is strictly covered by the retrieved formal concept.</w:t>
      </w:r>
    </w:p>
    <w:p>
      <w:pPr>
        <w:spacing w:line="276" w:lineRule="auto" w:after="120"/>
      </w:pPr>
      <w:r>
        <w:rPr>
          <w:rFonts w:ascii="Times New Roman" w:hAnsi="Times New Roman"/>
          <w:b/>
          <w:sz w:val="21"/>
        </w:rPr>
        <w:t xml:space="preserve">2. Multi-Objective Pareto Optimal Model Routing: </w:t>
      </w:r>
      <w:r>
        <w:rPr>
          <w:rFonts w:ascii="Times New Roman" w:hAnsi="Times New Roman"/>
          <w:i w:val="0"/>
          <w:color w:val="1E293B"/>
          <w:sz w:val="21"/>
        </w:rPr>
        <w:t>Because multiple models or tool execution paths can satisfy a formal concept, LatticeForge integrates a multi-objective Pareto frontier engine. By tracking live telemetry across quality, latency, and financial cost, LatticeForge dynamically selects the non-dominated execution configuration minimizing weighted L2 distance to an ideal operating point.</w:t>
      </w:r>
    </w:p>
    <w:p>
      <w:pPr>
        <w:spacing w:line="276" w:lineRule="auto" w:after="120"/>
      </w:pPr>
      <w:r>
        <w:rPr>
          <w:rFonts w:ascii="Times New Roman" w:hAnsi="Times New Roman"/>
          <w:b/>
          <w:sz w:val="21"/>
        </w:rPr>
        <w:t xml:space="preserve">3. Autonomous Self-Refactoring &amp; Telemetry Maintenance: </w:t>
      </w:r>
      <w:r>
        <w:rPr>
          <w:rFonts w:ascii="Times New Roman" w:hAnsi="Times New Roman"/>
          <w:i w:val="0"/>
          <w:color w:val="1E293B"/>
          <w:sz w:val="21"/>
        </w:rPr>
        <w:t>We introduce formal algorithms for continuous system maintenance, including mathematical redundancy proofs (proving whether an API can be deprecated without shrinking the capability universe) and automated gap detection (identifying unreachable capability closures).</w:t>
      </w:r>
    </w:p>
    <w:p>
      <w:pPr>
        <w:spacing w:line="276" w:lineRule="auto" w:after="120"/>
      </w:pPr>
      <w:r>
        <w:rPr>
          <w:rFonts w:ascii="Times New Roman" w:hAnsi="Times New Roman"/>
          <w:b/>
          <w:sz w:val="21"/>
        </w:rPr>
        <w:t xml:space="preserve">4. Real-World Empirical Validation: </w:t>
      </w:r>
      <w:r>
        <w:rPr>
          <w:rFonts w:ascii="Times New Roman" w:hAnsi="Times New Roman"/>
          <w:i w:val="0"/>
          <w:color w:val="1E293B"/>
          <w:sz w:val="21"/>
        </w:rPr>
        <w:t>We conduct empirical evaluations on adversarial capability traps using Meta's Llama-3.3-70B model, comparing LatticeForge directly against industry-standard dense vector retrieval. Our results demonstrate that LatticeForge achieves 100% execution success, whereas vector retrieval collapses to 0% due to attribute-dropping failures.</w:t>
      </w:r>
    </w:p>
    <w:p>
      <w:pPr>
        <w:pStyle w:val="Heading1"/>
        <w:keepNext/>
        <w:spacing w:before="320" w:after="120"/>
      </w:pPr>
      <w:r>
        <w:rPr>
          <w:rFonts w:ascii="Arial" w:hAnsi="Arial"/>
          <w:b/>
          <w:color w:val="0F172A"/>
          <w:sz w:val="26"/>
        </w:rPr>
        <w:t>2. Theoretical Foundations &amp; Problem Formulation</w:t>
      </w:r>
    </w:p>
    <w:p>
      <w:pPr>
        <w:spacing w:line="276" w:lineRule="auto" w:after="120"/>
      </w:pPr>
      <w:r>
        <w:rPr>
          <w:rFonts w:ascii="Times New Roman" w:hAnsi="Times New Roman"/>
          <w:i w:val="0"/>
          <w:color w:val="1E293B"/>
          <w:sz w:val="21"/>
        </w:rPr>
        <w:t>In this section, we develop the formal mathematical machinery underpinning LatticeForge. We draw upon the algebraic principles of Formal Concept Analysis introduced by Rudolf Wille [8] and Bernhard Ganter [9], adapting their lattice-theoretic semantics to the domain of autonomous agent capabilities.</w:t>
      </w:r>
    </w:p>
    <w:p>
      <w:pPr>
        <w:pStyle w:val="Heading2"/>
        <w:keepNext/>
        <w:spacing w:before="240" w:after="80"/>
      </w:pPr>
      <w:r>
        <w:rPr>
          <w:rFonts w:ascii="Arial" w:hAnsi="Arial"/>
          <w:b/>
          <w:color w:val="1E293B"/>
          <w:sz w:val="22"/>
        </w:rPr>
        <w:t>2.1 Formal Context and Derivation Operators</w:t>
      </w:r>
    </w:p>
    <w:p>
      <w:pPr>
        <w:spacing w:line="276" w:lineRule="auto" w:after="120"/>
      </w:pPr>
      <w:r>
        <w:rPr>
          <w:rFonts w:ascii="Times New Roman" w:hAnsi="Times New Roman"/>
          <w:i w:val="0"/>
          <w:color w:val="1E293B"/>
          <w:sz w:val="21"/>
        </w:rPr>
        <w:t>Let the agent environment be modeled as a Formal Context defined by the triple:</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K = (G, M, I)</w:t>
            </w:r>
          </w:p>
        </w:tc>
        <w:tc>
          <w:tcPr>
            <w:tcW w:type="dxa" w:w="4680"/>
          </w:tcPr>
          <w:p>
            <w:pPr>
              <w:spacing w:before="60" w:after="60"/>
              <w:jc w:val="right"/>
            </w:pPr>
            <w:r>
              <w:rPr>
                <w:rFonts w:ascii="Times New Roman" w:hAnsi="Times New Roman"/>
                <w:sz w:val="21"/>
              </w:rPr>
              <w:t>(1)</w:t>
            </w:r>
          </w:p>
        </w:tc>
      </w:tr>
    </w:tbl>
    <w:p>
      <w:pPr>
        <w:spacing w:after="60"/>
      </w:pPr>
    </w:p>
    <w:p>
      <w:pPr>
        <w:spacing w:line="276" w:lineRule="auto" w:after="120"/>
      </w:pPr>
      <w:r>
        <w:rPr>
          <w:rFonts w:ascii="Times New Roman" w:hAnsi="Times New Roman"/>
          <w:i w:val="0"/>
          <w:color w:val="1E293B"/>
          <w:sz w:val="21"/>
        </w:rPr>
        <w:t>where G is a non-empty set of formal objects (representing available tools, microservices, or APIs: G = {t1, t2, ..., tn}), M is a finite set of formal attributes (representing atomic capabilities: M = {a1, a2, ..., am}), and I is a binary incidence relation I ⊆ G × M. The statement (t, a) ∈ I (or tIa) denotes that tool t strictly possesses capability a.</w:t>
      </w:r>
    </w:p>
    <w:p>
      <w:pPr>
        <w:spacing w:line="276" w:lineRule="auto" w:after="120"/>
      </w:pPr>
      <w:r>
        <w:rPr>
          <w:rFonts w:ascii="Times New Roman" w:hAnsi="Times New Roman"/>
          <w:i w:val="0"/>
          <w:color w:val="1E293B"/>
          <w:sz w:val="21"/>
        </w:rPr>
        <w:t>For any subset of tools A ⊆ G and any subset of capabilities B ⊆ M, we define the Galois derivation operators (prime operators) as:</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A' = { a ∈ M | ∀ t ∈ A, (t, a) ∈ I }</w:t>
            </w:r>
          </w:p>
        </w:tc>
        <w:tc>
          <w:tcPr>
            <w:tcW w:type="dxa" w:w="4680"/>
          </w:tcPr>
          <w:p>
            <w:pPr>
              <w:spacing w:before="60" w:after="60"/>
              <w:jc w:val="right"/>
            </w:pPr>
            <w:r>
              <w:rPr>
                <w:rFonts w:ascii="Times New Roman" w:hAnsi="Times New Roman"/>
                <w:sz w:val="21"/>
              </w:rPr>
              <w:t>(2)</w:t>
            </w:r>
          </w:p>
        </w:tc>
      </w:tr>
    </w:tbl>
    <w:p>
      <w:pPr>
        <w:spacing w:after="60"/>
      </w:pP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B' = { t ∈ G | ∀ a ∈ B, (t, a) ∈ I }</w:t>
            </w:r>
          </w:p>
        </w:tc>
        <w:tc>
          <w:tcPr>
            <w:tcW w:type="dxa" w:w="4680"/>
          </w:tcPr>
          <w:p>
            <w:pPr>
              <w:spacing w:before="60" w:after="60"/>
              <w:jc w:val="right"/>
            </w:pPr>
            <w:r>
              <w:rPr>
                <w:rFonts w:ascii="Times New Roman" w:hAnsi="Times New Roman"/>
                <w:sz w:val="21"/>
              </w:rPr>
              <w:t>(3)</w:t>
            </w:r>
          </w:p>
        </w:tc>
      </w:tr>
    </w:tbl>
    <w:p>
      <w:pPr>
        <w:spacing w:after="60"/>
      </w:pPr>
    </w:p>
    <w:p>
      <w:pPr>
        <w:spacing w:line="276" w:lineRule="auto" w:after="120"/>
      </w:pPr>
      <w:r>
        <w:rPr>
          <w:rFonts w:ascii="Times New Roman" w:hAnsi="Times New Roman"/>
          <w:i w:val="0"/>
          <w:color w:val="1E293B"/>
          <w:sz w:val="21"/>
        </w:rPr>
        <w:t>Intuitively, A' represents the maximal set of shared capabilities common to every tool in A. Conversely, B' represents the maximal set of tools that each individually satisfy every capability specified in B.</w:t>
      </w:r>
    </w:p>
    <w:p>
      <w:pPr>
        <w:pStyle w:val="Heading2"/>
        <w:keepNext/>
        <w:spacing w:before="240" w:after="80"/>
      </w:pPr>
      <w:r>
        <w:rPr>
          <w:rFonts w:ascii="Arial" w:hAnsi="Arial"/>
          <w:b/>
          <w:color w:val="1E293B"/>
          <w:sz w:val="22"/>
        </w:rPr>
        <w:t>2.2 Formal Concepts and Galois Closure</w:t>
      </w:r>
    </w:p>
    <w:p>
      <w:pPr>
        <w:spacing w:line="276" w:lineRule="auto" w:after="120"/>
      </w:pPr>
      <w:r>
        <w:rPr>
          <w:rFonts w:ascii="Times New Roman" w:hAnsi="Times New Roman"/>
          <w:i w:val="0"/>
          <w:color w:val="1E293B"/>
          <w:sz w:val="21"/>
        </w:rPr>
        <w:t>A Formal Concept of the context K is an ordered pair (A, B) such that:</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A' = B   and   B' = A</w:t>
            </w:r>
          </w:p>
        </w:tc>
        <w:tc>
          <w:tcPr>
            <w:tcW w:type="dxa" w:w="4680"/>
          </w:tcPr>
          <w:p>
            <w:pPr>
              <w:spacing w:before="60" w:after="60"/>
              <w:jc w:val="right"/>
            </w:pPr>
            <w:r>
              <w:rPr>
                <w:rFonts w:ascii="Times New Roman" w:hAnsi="Times New Roman"/>
                <w:sz w:val="21"/>
              </w:rPr>
              <w:t>(4)</w:t>
            </w:r>
          </w:p>
        </w:tc>
      </w:tr>
    </w:tbl>
    <w:p>
      <w:pPr>
        <w:spacing w:after="60"/>
      </w:pPr>
    </w:p>
    <w:p>
      <w:pPr>
        <w:spacing w:line="276" w:lineRule="auto" w:after="120"/>
      </w:pPr>
      <w:r>
        <w:rPr>
          <w:rFonts w:ascii="Times New Roman" w:hAnsi="Times New Roman"/>
          <w:i w:val="0"/>
          <w:color w:val="1E293B"/>
          <w:sz w:val="21"/>
        </w:rPr>
        <w:t>Here, A is designated as the extent (the objects covered) and B is the intent (the shared attributes). The composite mappings A ↦ A'' and B ↦ B'' constitute closure operators on the power sets P(G) and P(M), respectively. Specifically, for any target set of required capabilities B_req ⊆ M demanded by an incoming task, the Galois closure B''_req computes the smallest closed attribute set containing B_req:</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B_req ⊆ B''_req = (B'_req)'</w:t>
            </w:r>
          </w:p>
        </w:tc>
        <w:tc>
          <w:tcPr>
            <w:tcW w:type="dxa" w:w="4680"/>
          </w:tcPr>
          <w:p>
            <w:pPr>
              <w:spacing w:before="60" w:after="60"/>
              <w:jc w:val="right"/>
            </w:pPr>
            <w:r>
              <w:rPr>
                <w:rFonts w:ascii="Times New Roman" w:hAnsi="Times New Roman"/>
                <w:sz w:val="21"/>
              </w:rPr>
              <w:t>(5)</w:t>
            </w:r>
          </w:p>
        </w:tc>
      </w:tr>
    </w:tbl>
    <w:p>
      <w:pPr>
        <w:spacing w:after="6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MATHEMATICAL PROOF OF CAPABILITY COVERAGE</w:t>
              <w:br/>
            </w:r>
            <w:r>
              <w:rPr>
                <w:rFonts w:ascii="Times New Roman" w:hAnsi="Times New Roman"/>
                <w:color w:val="334155"/>
                <w:sz w:val="19"/>
              </w:rPr>
              <w:t>Theorem 1 (Exact Capability Coverage Guarantee): Let B_req ⊆ M denote the necessary capability requirements extracted from a user task. Let (A*, B*) be the formal concept generated via Galois closure such that B* = B''_req and A* = B'_{req}. If A* ≠ ∅, then every tool t ∈ A* possesses all capabilities in B_req, and the capability coverage error is identically zero:</w:t>
              <w:br/>
              <w:br/>
              <w:t>CoverageError(A*, B_req) = | B_req \ (⋃_{t ∈ A*} Attr(t)) | = 0.</w:t>
            </w:r>
          </w:p>
        </w:tc>
      </w:tr>
    </w:tbl>
    <w:p>
      <w:pPr>
        <w:spacing w:after="80"/>
      </w:pPr>
    </w:p>
    <w:p>
      <w:pPr>
        <w:spacing w:line="276" w:lineRule="auto" w:after="120"/>
      </w:pPr>
      <w:r>
        <w:rPr>
          <w:rFonts w:ascii="Times New Roman" w:hAnsi="Times New Roman"/>
          <w:i/>
          <w:color w:val="1E293B"/>
          <w:sz w:val="21"/>
        </w:rPr>
        <w:t>Proof: By definition of the derivation operator (Equation 3), A* = B'_{req} = { t ∈ G | ∀ a ∈ B_req, (t, a) ∈ I }. Consequently, for every tool t ∈ A* and every attribute a ∈ B_req, the incidence relation tIa holds. Therefore, B_req ⊆ Attr(t) for all t ∈ A*, and the union of tool attributes trivially subsumes B_req. Hence, the difference set is empty and CoverageError is 0. Q.E.D.</w:t>
      </w:r>
    </w:p>
    <w:p>
      <w:pPr>
        <w:pStyle w:val="Heading2"/>
        <w:keepNext/>
        <w:spacing w:before="240" w:after="80"/>
      </w:pPr>
      <w:r>
        <w:rPr>
          <w:rFonts w:ascii="Arial" w:hAnsi="Arial"/>
          <w:b/>
          <w:color w:val="1E293B"/>
          <w:sz w:val="22"/>
        </w:rPr>
        <w:t>2.3 The Concept Lattice (Hasse Diagram)</w:t>
      </w:r>
    </w:p>
    <w:p>
      <w:pPr>
        <w:spacing w:line="276" w:lineRule="auto" w:after="120"/>
      </w:pPr>
      <w:r>
        <w:rPr>
          <w:rFonts w:ascii="Times New Roman" w:hAnsi="Times New Roman"/>
          <w:i w:val="0"/>
          <w:color w:val="1E293B"/>
          <w:sz w:val="21"/>
        </w:rPr>
        <w:t>The set of all formal concepts B(G, M, I) forms a complete lattice under the subconcept-superconcept partial ordering ≤ defined by:</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(A1, B1) ≤ (A2, B2)  ⟺  A1 ⊆ A2  ⟺  B2 ⊆ B1</w:t>
            </w:r>
          </w:p>
        </w:tc>
        <w:tc>
          <w:tcPr>
            <w:tcW w:type="dxa" w:w="4680"/>
          </w:tcPr>
          <w:p>
            <w:pPr>
              <w:spacing w:before="60" w:after="60"/>
              <w:jc w:val="right"/>
            </w:pPr>
            <w:r>
              <w:rPr>
                <w:rFonts w:ascii="Times New Roman" w:hAnsi="Times New Roman"/>
                <w:sz w:val="21"/>
              </w:rPr>
              <w:t>(6)</w:t>
            </w:r>
          </w:p>
        </w:tc>
      </w:tr>
    </w:tbl>
    <w:p>
      <w:pPr>
        <w:spacing w:after="60"/>
      </w:pPr>
    </w:p>
    <w:p>
      <w:pPr>
        <w:spacing w:line="276" w:lineRule="auto" w:after="120"/>
      </w:pPr>
      <w:r>
        <w:rPr>
          <w:rFonts w:ascii="Times New Roman" w:hAnsi="Times New Roman"/>
          <w:i w:val="0"/>
          <w:color w:val="1E293B"/>
          <w:sz w:val="21"/>
        </w:rPr>
        <w:t>This partial order induces a hierarchical directed acyclic graph (the Hasse diagram), where higher concepts represent broader, more general tool collections with fewer shared capabilities, and lower concepts represent specialized, highly capable tool suites. The top concept ⊤ represents all tools with common intersection capabilities, while the bottom concept ⊥ represents tools possessing all attributes simultaneously (or an empty extent if no single monolithic tool exists).</w:t>
      </w:r>
    </w:p>
    <w:p>
      <w:pPr>
        <w:pStyle w:val="Heading2"/>
        <w:keepNext/>
        <w:spacing w:before="240" w:after="80"/>
      </w:pPr>
      <w:r>
        <w:rPr>
          <w:rFonts w:ascii="Arial" w:hAnsi="Arial"/>
          <w:b/>
          <w:color w:val="1E293B"/>
          <w:sz w:val="22"/>
        </w:rPr>
        <w:t>2.4 Multi-Objective Pareto Frontier Formulation</w:t>
      </w:r>
    </w:p>
    <w:p>
      <w:pPr>
        <w:spacing w:line="276" w:lineRule="auto" w:after="120"/>
      </w:pPr>
      <w:r>
        <w:rPr>
          <w:rFonts w:ascii="Times New Roman" w:hAnsi="Times New Roman"/>
          <w:i w:val="0"/>
          <w:color w:val="1E293B"/>
          <w:sz w:val="21"/>
        </w:rPr>
        <w:t>Once a formal concept (A*, B*) is retrieved, multiple candidate execution configurations may exist (e.g., executing with different base LLMs such as Llama-3.3-70B, GPT-4o, or Claude-3.5-Sonnet, combined with varying tool serialization formats). Let C denote the set of valid execution configurations. Each configuration c ∈ C is characterized by a 3-dimensional objective vector:</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F(c) = (q(c), λ(c), γ(c))</w:t>
            </w:r>
          </w:p>
        </w:tc>
        <w:tc>
          <w:tcPr>
            <w:tcW w:type="dxa" w:w="4680"/>
          </w:tcPr>
          <w:p>
            <w:pPr>
              <w:spacing w:before="60" w:after="60"/>
              <w:jc w:val="right"/>
            </w:pPr>
            <w:r>
              <w:rPr>
                <w:rFonts w:ascii="Times New Roman" w:hAnsi="Times New Roman"/>
                <w:sz w:val="21"/>
              </w:rPr>
              <w:t>(7)</w:t>
            </w:r>
          </w:p>
        </w:tc>
      </w:tr>
    </w:tbl>
    <w:p>
      <w:pPr>
        <w:spacing w:after="60"/>
      </w:pPr>
    </w:p>
    <w:p>
      <w:pPr>
        <w:spacing w:line="276" w:lineRule="auto" w:after="120"/>
      </w:pPr>
      <w:r>
        <w:rPr>
          <w:rFonts w:ascii="Times New Roman" w:hAnsi="Times New Roman"/>
          <w:i w:val="0"/>
          <w:color w:val="1E293B"/>
          <w:sz w:val="21"/>
        </w:rPr>
        <w:t>where q(c) ∈ [0, 1] is empirical execution quality (to be maximized), λ(c) ∈ ℝ+ is end-to-end latency in milliseconds (to be minimized), and γ(c) ∈ ℝ+ is financial cost per query in USD (to be minimized). A configuration c1 is said to Pareto-dominate c2 (c1 ≻ c2) if and only if:</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 i ∈ {q, λ, γ}, f_i(c1) is no worse than f_i(c2)  ∧  ∃ j, f_j(c1) is strictly better than f_j(c2)</w:t>
            </w:r>
          </w:p>
        </w:tc>
        <w:tc>
          <w:tcPr>
            <w:tcW w:type="dxa" w:w="4680"/>
          </w:tcPr>
          <w:p>
            <w:pPr>
              <w:spacing w:before="60" w:after="60"/>
              <w:jc w:val="right"/>
            </w:pPr>
            <w:r>
              <w:rPr>
                <w:rFonts w:ascii="Times New Roman" w:hAnsi="Times New Roman"/>
                <w:sz w:val="21"/>
              </w:rPr>
              <w:t>(8)</w:t>
            </w:r>
          </w:p>
        </w:tc>
      </w:tr>
    </w:tbl>
    <w:p>
      <w:pPr>
        <w:spacing w:after="60"/>
      </w:pPr>
    </w:p>
    <w:p>
      <w:pPr>
        <w:spacing w:line="276" w:lineRule="auto" w:after="120"/>
      </w:pPr>
      <w:r>
        <w:rPr>
          <w:rFonts w:ascii="Times New Roman" w:hAnsi="Times New Roman"/>
          <w:i w:val="0"/>
          <w:color w:val="1E293B"/>
          <w:sz w:val="21"/>
        </w:rPr>
        <w:t>The Pareto Frontier P* consists of all non-dominated configurations: P* = { c ∈ C | ∄ c' ∈ C, c' ≻ c }. To dynamically select the optimal configuration according to user-specified priority weights w = (w_q, w_λ, w_γ) such that ∑ w_i = 1, LatticeForge computes the weighted L2 distance to the normalized Ideal Reference Point Z* = (1, 0, 0):</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60" w:after="60"/>
              <w:jc w:val="center"/>
            </w:pPr>
            <w:r>
              <w:rPr>
                <w:rFonts w:ascii="Cambria Math" w:hAnsi="Cambria Math"/>
                <w:i/>
                <w:sz w:val="21"/>
              </w:rPr>
              <w:t>c* = arg min_{c ∈ P*} √[ w_q (1 - q̂(c))² + w_λ (λ̂(c) - 0)² + w_γ (γ̂(c) - 0)² ]</w:t>
            </w:r>
          </w:p>
        </w:tc>
        <w:tc>
          <w:tcPr>
            <w:tcW w:type="dxa" w:w="4680"/>
          </w:tcPr>
          <w:p>
            <w:pPr>
              <w:spacing w:before="60" w:after="60"/>
              <w:jc w:val="right"/>
            </w:pPr>
            <w:r>
              <w:rPr>
                <w:rFonts w:ascii="Times New Roman" w:hAnsi="Times New Roman"/>
                <w:sz w:val="21"/>
              </w:rPr>
              <w:t>(9)</w:t>
            </w:r>
          </w:p>
        </w:tc>
      </w:tr>
    </w:tbl>
    <w:p>
      <w:pPr>
        <w:spacing w:after="60"/>
      </w:pPr>
    </w:p>
    <w:p>
      <w:pPr>
        <w:spacing w:line="276" w:lineRule="auto" w:after="120"/>
      </w:pPr>
      <w:r>
        <w:rPr>
          <w:rFonts w:ascii="Times New Roman" w:hAnsi="Times New Roman"/>
          <w:i w:val="0"/>
          <w:color w:val="1E293B"/>
          <w:sz w:val="21"/>
        </w:rPr>
        <w:t>where hat{q}, hat{λ}, and hat{γ} represent min-max normalized objective values across the current configuration library.</w:t>
      </w:r>
    </w:p>
    <w:p>
      <w:pPr>
        <w:pStyle w:val="Heading1"/>
        <w:keepNext/>
        <w:spacing w:before="320" w:after="120"/>
      </w:pPr>
      <w:r>
        <w:rPr>
          <w:rFonts w:ascii="Arial" w:hAnsi="Arial"/>
          <w:b/>
          <w:color w:val="0F172A"/>
          <w:sz w:val="26"/>
        </w:rPr>
        <w:t>3. System Architecture &amp; Implementation</w:t>
      </w:r>
    </w:p>
    <w:p>
      <w:pPr>
        <w:spacing w:line="276" w:lineRule="auto" w:after="120"/>
      </w:pPr>
      <w:r>
        <w:rPr>
          <w:rFonts w:ascii="Times New Roman" w:hAnsi="Times New Roman"/>
          <w:i w:val="0"/>
          <w:color w:val="1E293B"/>
          <w:sz w:val="21"/>
        </w:rPr>
        <w:t>LatticeForge is implemented as an end-to-end distributed system consisting of a high-performance Python FastAPI backend and a reactive TypeScript frontend dashboard. The core execution engine is decoupled into five distinct functional subsystems.</w:t>
      </w:r>
    </w:p>
    <w:p>
      <w:pPr>
        <w:pStyle w:val="Heading2"/>
        <w:keepNext/>
        <w:spacing w:before="240" w:after="80"/>
      </w:pPr>
      <w:r>
        <w:rPr>
          <w:rFonts w:ascii="Arial" w:hAnsi="Arial"/>
          <w:b/>
          <w:color w:val="1E293B"/>
          <w:sz w:val="22"/>
        </w:rPr>
        <w:t>3.1 Architectural Overview</w:t>
      </w:r>
    </w:p>
    <w:p>
      <w:pPr>
        <w:spacing w:line="276" w:lineRule="auto" w:after="120"/>
      </w:pPr>
      <w:r>
        <w:rPr>
          <w:rFonts w:ascii="Times New Roman" w:hAnsi="Times New Roman"/>
          <w:i w:val="0"/>
          <w:color w:val="1E293B"/>
          <w:sz w:val="21"/>
        </w:rPr>
        <w:t>The architecture operates through a continuous, closed-loop lifecycle comprising: (1) Query Capability Extraction, (2) Galois Lattice Routing, (3) Pareto Optimization Dispatch, (4) LLM Agent Execution, and (5) Telemetry-Driven Self-Refactoring. Figure 1 illustrates the operational flow of the system.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FIGURE 1: LATTICEFORGE ARCHITECTURAL PIPELINE</w:t>
              <w:br/>
            </w:r>
            <w:r>
              <w:rPr>
                <w:rFonts w:ascii="Times New Roman" w:hAnsi="Times New Roman"/>
                <w:color w:val="334155"/>
                <w:sz w:val="19"/>
              </w:rPr>
              <w:t>[User Task / Request] ──► [Capability Extractor (LLM / Parser)]</w:t>
              <w:br/>
              <w:t xml:space="preserve">                                     │ (Target Attributes B_req)</w:t>
              <w:br/>
              <w:t xml:space="preserve">                                     ▼</w:t>
              <w:br/>
              <w:t>[Formal Context (G, M, I)] ──► [FCA Engine: Galois Closure B''_req]</w:t>
              <w:br/>
              <w:t xml:space="preserve">                                     │ (Exact Covering Concept Extent A*)</w:t>
              <w:br/>
              <w:t xml:space="preserve">                                     ▼</w:t>
              <w:br/>
              <w:t>[Telemetry DB] ─────────────► [Pareto Engine: Non-dominated Filter]</w:t>
              <w:br/>
              <w:t xml:space="preserve">                                     │ (Optimal Config c* via L2 Scalarization)</w:t>
              <w:br/>
              <w:t xml:space="preserve">                                     ▼</w:t>
              <w:br/>
              <w:t xml:space="preserve">                              [LLM Agent Execution Loop (Groq API)]</w:t>
              <w:br/>
              <w:t xml:space="preserve">                                     │ (Telemetry: Latency, Cost, Quality)</w:t>
              <w:br/>
              <w:t xml:space="preserve">                                     ▼</w:t>
              <w:br/>
              <w:t xml:space="preserve">                              [Self-Refactoring &amp; Telemetry Store]</w:t>
            </w:r>
          </w:p>
        </w:tc>
      </w:tr>
    </w:tbl>
    <w:p>
      <w:pPr>
        <w:spacing w:after="80"/>
      </w:pPr>
    </w:p>
    <w:p>
      <w:pPr>
        <w:pStyle w:val="Heading2"/>
        <w:keepNext/>
        <w:spacing w:before="240" w:after="80"/>
      </w:pPr>
      <w:r>
        <w:rPr>
          <w:rFonts w:ascii="Arial" w:hAnsi="Arial"/>
          <w:b/>
          <w:color w:val="1E293B"/>
          <w:sz w:val="22"/>
        </w:rPr>
        <w:t>3.2 Discrete FCA Routing Engine</w:t>
      </w:r>
    </w:p>
    <w:p>
      <w:pPr>
        <w:spacing w:line="276" w:lineRule="auto" w:after="120"/>
      </w:pPr>
      <w:r>
        <w:rPr>
          <w:rFonts w:ascii="Times New Roman" w:hAnsi="Times New Roman"/>
          <w:i w:val="0"/>
          <w:color w:val="1E293B"/>
          <w:sz w:val="21"/>
        </w:rPr>
        <w:t>The FCA routing engine maintains the active formal context in memory. Upon receiving a task description, the system extracts the required capability set B_req. Rather than performing unconstrained power-set enumeration over all 2^|G| tools, LatticeForge utilizes an attribute-closure approach: it computes the object derivation B'_req and subsequently closes the set via (B'_req)'. If a single formal concept does not cover all attributes due to context sparsity, LatticeForge executes a minimal set-cover decomposition over the lattice elements, ensuring total attribute satisfaction with the minimum number of tool interfaces.</w:t>
      </w:r>
    </w:p>
    <w:p>
      <w:pPr>
        <w:pStyle w:val="Heading2"/>
        <w:keepNext/>
        <w:spacing w:before="240" w:after="80"/>
      </w:pPr>
      <w:r>
        <w:rPr>
          <w:rFonts w:ascii="Arial" w:hAnsi="Arial"/>
          <w:b/>
          <w:color w:val="1E293B"/>
          <w:sz w:val="22"/>
        </w:rPr>
        <w:t>3.3 Autonomous Self-Refactoring Subsystem</w:t>
      </w:r>
    </w:p>
    <w:p>
      <w:pPr>
        <w:spacing w:line="276" w:lineRule="auto" w:after="120"/>
      </w:pPr>
      <w:r>
        <w:rPr>
          <w:rFonts w:ascii="Times New Roman" w:hAnsi="Times New Roman"/>
          <w:i w:val="0"/>
          <w:color w:val="1E293B"/>
          <w:sz w:val="21"/>
        </w:rPr>
        <w:t>In production environments, tool registries undergo frequent revisions: deprecated legacy endpoints are retired, and new APIs are registered. LatticeForge incorporates two automated mathematical refactoring operations:</w:t>
      </w:r>
    </w:p>
    <w:p>
      <w:pPr>
        <w:spacing w:line="276" w:lineRule="auto" w:after="120"/>
      </w:pPr>
      <w:r>
        <w:rPr>
          <w:rFonts w:ascii="Times New Roman" w:hAnsi="Times New Roman"/>
          <w:b/>
          <w:sz w:val="21"/>
        </w:rPr>
        <w:t xml:space="preserve">1. Tool Redundancy Verification: </w:t>
      </w:r>
      <w:r>
        <w:rPr>
          <w:rFonts w:ascii="Times New Roman" w:hAnsi="Times New Roman"/>
          <w:i w:val="0"/>
          <w:color w:val="1E293B"/>
          <w:sz w:val="21"/>
        </w:rPr>
        <w:t>A tool T ∈ G is mathematically proved redundant if its retirement causes zero loss of capability coverage across the entire task suite. Formally, T is redundant if and only if for every task t such that t I T, there exists a subset of remaining tools G \ {T} that collectively cover all attributes of T. LatticeForge evaluates this condition symbolically across the incidence matrix, generating human-readable formal verification proofs prior to tool decommissioning.</w:t>
      </w:r>
    </w:p>
    <w:p>
      <w:pPr>
        <w:spacing w:line="276" w:lineRule="auto" w:after="120"/>
      </w:pPr>
      <w:r>
        <w:rPr>
          <w:rFonts w:ascii="Times New Roman" w:hAnsi="Times New Roman"/>
          <w:b/>
          <w:sz w:val="21"/>
        </w:rPr>
        <w:t xml:space="preserve">2. Capability Gap Detection: </w:t>
      </w:r>
      <w:r>
        <w:rPr>
          <w:rFonts w:ascii="Times New Roman" w:hAnsi="Times New Roman"/>
          <w:i w:val="0"/>
          <w:color w:val="1E293B"/>
          <w:sz w:val="21"/>
        </w:rPr>
        <w:t>LatticeForge continuously scans the attribute power set for capability combinations frequently requested by tasks that possess an empty extent (B' = ∅). These identify architectural capability deficits, automatically alerting system administrators with the exact formal specifications required for new tool development.</w:t>
      </w:r>
    </w:p>
    <w:p>
      <w:pPr>
        <w:pStyle w:val="Heading1"/>
        <w:keepNext/>
        <w:spacing w:before="320" w:after="120"/>
      </w:pPr>
      <w:r>
        <w:rPr>
          <w:rFonts w:ascii="Arial" w:hAnsi="Arial"/>
          <w:b/>
          <w:color w:val="0F172A"/>
          <w:sz w:val="26"/>
        </w:rPr>
        <w:t>4. Adversarial Stress-Testing and Counterexample Analysis</w:t>
      </w:r>
    </w:p>
    <w:p>
      <w:pPr>
        <w:spacing w:line="276" w:lineRule="auto" w:after="120"/>
      </w:pPr>
      <w:r>
        <w:rPr>
          <w:rFonts w:ascii="Times New Roman" w:hAnsi="Times New Roman"/>
          <w:i w:val="0"/>
          <w:color w:val="1E293B"/>
          <w:sz w:val="21"/>
        </w:rPr>
        <w:t>To rigorously analyze the failure boundaries of dense vector retrieval versus discrete Galois closure, we evaluated both paradigms against a targeted adversarial stress-testing suite. In empirical software engineering, demonstrating structural limitations in retrieval requires evaluating representative failure topologies—specifically scenarios where continuous semantic similarity diverges from discrete capability necessity. The objective of this evaluation is not an unconstrained open-domain benchmark, but rather a targeted probe to prove whether discrete Galois closure deterministically avoids the known failure modes of Vector RAG.</w:t>
      </w:r>
    </w:p>
    <w:p>
      <w:pPr>
        <w:pStyle w:val="Heading2"/>
        <w:keepNext/>
        <w:spacing w:before="240" w:after="80"/>
      </w:pPr>
      <w:r>
        <w:rPr>
          <w:rFonts w:ascii="Arial" w:hAnsi="Arial"/>
          <w:b/>
          <w:color w:val="1E293B"/>
          <w:sz w:val="22"/>
        </w:rPr>
        <w:t>4.1 Experimental Setup &amp; Adversarial Failure Topologies</w:t>
      </w:r>
    </w:p>
    <w:p>
      <w:pPr>
        <w:spacing w:line="276" w:lineRule="auto" w:after="120"/>
      </w:pPr>
      <w:r>
        <w:rPr>
          <w:rFonts w:ascii="Times New Roman" w:hAnsi="Times New Roman"/>
          <w:i w:val="0"/>
          <w:color w:val="1E293B"/>
          <w:sz w:val="21"/>
        </w:rPr>
        <w:t>We configured a representative enterprise tool context consisting of five specialized tools possessing distinct, non-overlapping and overlapping capabilities:</w:t>
      </w:r>
    </w:p>
    <w:p>
      <w:pPr>
        <w:spacing w:line="276" w:lineRule="auto" w:after="120"/>
      </w:pPr>
      <w:r>
        <w:rPr>
          <w:rFonts w:ascii="Times New Roman" w:hAnsi="Times New Roman"/>
          <w:i w:val="0"/>
          <w:color w:val="1E293B"/>
          <w:sz w:val="21"/>
        </w:rPr>
        <w:t>• SQL_Analytics: Capabilities = {sql_access, data_analysis}</w:t>
        <w:br/>
        <w:t>• Python_Interpreter: Capabilities = {code_exec, data_analysis}</w:t>
        <w:br/>
        <w:t>• Web_Scraper: Capabilities = {web_search}</w:t>
        <w:br/>
        <w:t>• Financial_Report_Analyzer: Capabilities = {pdf_parse, data_analysis}</w:t>
        <w:br/>
        <w:t>• General_GPT4_Chat: Capabilities = {gpt4_capable}</w:t>
      </w:r>
    </w:p>
    <w:p>
      <w:pPr>
        <w:spacing w:line="276" w:lineRule="auto" w:after="120"/>
      </w:pPr>
      <w:r>
        <w:rPr>
          <w:rFonts w:ascii="Times New Roman" w:hAnsi="Times New Roman"/>
          <w:i w:val="0"/>
          <w:color w:val="1E293B"/>
          <w:sz w:val="21"/>
        </w:rPr>
        <w:t>We evaluated performance across three adversarial benchmark tasks engineered to embody distinct architectural failure topologies:</w:t>
        <w:br/>
        <w:br/>
        <w:t>• Task 1 (Failure Topology A: Semantic Distraction across Disjoint Domains): 'I need you to write a Python script to scrape the latest stock prices from Yahoo Finance and plot them.' Required Capabilities: {code_exec, web_search}. Trap Rationale: Strong lexical signals toward 'stock prices' and 'plot' divert vector embeddings toward Financial_Report_Analyzer or General_GPT4_Chat, dropping the essential Web_Scraper.</w:t>
        <w:br/>
        <w:br/>
        <w:t>• Task 2 (Failure Topology A: Synonym Overlap vs. Core Query Interface): 'Please query the users table for active subscribers and analyze the churn rate statistics.' Required Capabilities: {sql_access, data_analysis}. Trap Rationale: The dominant presence of 'analyze' and 'statistics' heavily favors Python_Interpreter or Financial_Report_Analyzer in continuous vector space, dropping the foundational sql_access tool.</w:t>
        <w:br/>
        <w:br/>
        <w:t>• Task 3 (Failure Topology B: Structural Cardinality Deficit): 'I need to optimize my database. Parse the attached schema PDF and write a Python script to generate SQL indexing queries.' Required Capabilities: {pdf_parse, code_exec, sql_access}. Trap Rationale: The task necessitates N = 3 orthogonal capabilities. Under any standard retrieval budget where K &lt; 3 (here K = 2), vector search is mathematically guaranteed to drop at least one prerequisite capability.</w:t>
      </w:r>
    </w:p>
    <w:p>
      <w:pPr>
        <w:pStyle w:val="Heading2"/>
        <w:keepNext/>
        <w:spacing w:before="240" w:after="80"/>
      </w:pPr>
      <w:r>
        <w:rPr>
          <w:rFonts w:ascii="Arial" w:hAnsi="Arial"/>
          <w:b/>
          <w:color w:val="1E293B"/>
          <w:sz w:val="22"/>
        </w:rPr>
        <w:t>4.2 Comparative Retrieval Results &amp; Analysis of the Binary Split</w:t>
      </w:r>
    </w:p>
    <w:p>
      <w:pPr>
        <w:spacing w:line="276" w:lineRule="auto" w:after="120"/>
      </w:pPr>
      <w:r>
        <w:rPr>
          <w:rFonts w:ascii="Times New Roman" w:hAnsi="Times New Roman"/>
          <w:i w:val="0"/>
          <w:color w:val="1E293B"/>
          <w:sz w:val="21"/>
        </w:rPr>
        <w:t>Table 1 reports capability coverage, retrieved tools, and execution outcomes across the benchmark tasks. Notice that vector search exhibits a 0% success rate across this test suite, while LatticeForge achieves 100%. It is critical to clarify the nature of this binary outcome: this is not an artifact of simulated data, but a direct consequence of evaluating targeted counterexamples. Because each task was deliberately constructed to probe a mathematical failure boundary (where semantic similarity actively misleads Top-K retrieval), vector search systematically fails the capability coverage requirement, whereas Galois closure provably satisfies it by virtue of Theorem 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296"/>
            <w:shd w:fill="1E293B"/>
            <w:tcMar>
              <w:top w:w="80" w:type="dxa"/>
              <w:bottom w:w="80" w:type="dxa"/>
              <w:left w:w="100" w:type="dxa"/>
              <w:right w:w="100" w:type="dxa"/>
            </w:tcMar>
          </w:tcPr>
          <w:p>
            <w:pPr>
              <w:jc w:val="center"/>
            </w:pPr>
            <w:r>
              <w:rPr>
                <w:rFonts w:ascii="Arial" w:hAnsi="Arial"/>
                <w:b/>
                <w:color w:val="FFFFFF"/>
                <w:sz w:val="17"/>
              </w:rPr>
              <w:t>Task ID</w:t>
            </w:r>
          </w:p>
        </w:tc>
        <w:tc>
          <w:tcPr>
            <w:tcW w:type="dxa" w:w="2592"/>
            <w:shd w:fill="1E293B"/>
            <w:tcMar>
              <w:top w:w="80" w:type="dxa"/>
              <w:bottom w:w="80" w:type="dxa"/>
              <w:left w:w="100" w:type="dxa"/>
              <w:right w:w="100" w:type="dxa"/>
            </w:tcMar>
          </w:tcPr>
          <w:p>
            <w:pPr>
              <w:jc w:val="center"/>
            </w:pPr>
            <w:r>
              <w:rPr>
                <w:rFonts w:ascii="Arial" w:hAnsi="Arial"/>
                <w:b/>
                <w:color w:val="FFFFFF"/>
                <w:sz w:val="17"/>
              </w:rPr>
              <w:t>Required Attributes</w:t>
            </w:r>
          </w:p>
        </w:tc>
        <w:tc>
          <w:tcPr>
            <w:tcW w:type="dxa" w:w="1872"/>
            <w:shd w:fill="1E293B"/>
            <w:tcMar>
              <w:top w:w="80" w:type="dxa"/>
              <w:bottom w:w="80" w:type="dxa"/>
              <w:left w:w="100" w:type="dxa"/>
              <w:right w:w="100" w:type="dxa"/>
            </w:tcMar>
          </w:tcPr>
          <w:p>
            <w:pPr>
              <w:jc w:val="center"/>
            </w:pPr>
            <w:r>
              <w:rPr>
                <w:rFonts w:ascii="Arial" w:hAnsi="Arial"/>
                <w:b/>
                <w:color w:val="FFFFFF"/>
                <w:sz w:val="17"/>
              </w:rPr>
              <w:t>Vector Search (Top-2)</w:t>
            </w:r>
          </w:p>
        </w:tc>
        <w:tc>
          <w:tcPr>
            <w:tcW w:type="dxa" w:w="1872"/>
            <w:shd w:fill="1E293B"/>
            <w:tcMar>
              <w:top w:w="80" w:type="dxa"/>
              <w:bottom w:w="80" w:type="dxa"/>
              <w:left w:w="100" w:type="dxa"/>
              <w:right w:w="100" w:type="dxa"/>
            </w:tcMar>
          </w:tcPr>
          <w:p>
            <w:pPr>
              <w:jc w:val="center"/>
            </w:pPr>
            <w:r>
              <w:rPr>
                <w:rFonts w:ascii="Arial" w:hAnsi="Arial"/>
                <w:b/>
                <w:color w:val="FFFFFF"/>
                <w:sz w:val="17"/>
              </w:rPr>
              <w:t>LatticeForge (FCA)</w:t>
            </w:r>
          </w:p>
        </w:tc>
        <w:tc>
          <w:tcPr>
            <w:tcW w:type="dxa" w:w="1728"/>
            <w:shd w:fill="1E293B"/>
            <w:tcMar>
              <w:top w:w="80" w:type="dxa"/>
              <w:bottom w:w="80" w:type="dxa"/>
              <w:left w:w="100" w:type="dxa"/>
              <w:right w:w="100" w:type="dxa"/>
            </w:tcMar>
          </w:tcPr>
          <w:p>
            <w:pPr>
              <w:jc w:val="center"/>
            </w:pPr>
            <w:r>
              <w:rPr>
                <w:rFonts w:ascii="Arial" w:hAnsi="Arial"/>
                <w:b/>
                <w:color w:val="FFFFFF"/>
                <w:sz w:val="17"/>
              </w:rPr>
              <w:t>FCA Advantage</w:t>
            </w:r>
          </w:p>
        </w:tc>
      </w:tr>
      <w:tr>
        <w:tc>
          <w:tcPr>
            <w:tcW w:type="dxa" w:w="1296"/>
            <w:shd w:fill="F8FAFC"/>
            <w:tcMar>
              <w:top w:w="80" w:type="dxa"/>
              <w:bottom w:w="80" w:type="dxa"/>
              <w:left w:w="100" w:type="dxa"/>
              <w:right w:w="100" w:type="dxa"/>
            </w:tcMar>
          </w:tcPr>
          <w:p>
            <w:pPr>
              <w:spacing w:line="252" w:lineRule="auto" w:after="40"/>
            </w:pPr>
            <w:r>
              <w:rPr>
                <w:rFonts w:ascii="Times New Roman" w:hAnsi="Times New Roman"/>
                <w:color w:val="1E293B"/>
                <w:sz w:val="17"/>
              </w:rPr>
              <w:t>Task 1</w:t>
              <w:br/>
              <w:t>(Stock Scrape)</w:t>
            </w:r>
          </w:p>
        </w:tc>
        <w:tc>
          <w:tcPr>
            <w:tcW w:type="dxa" w:w="2592"/>
            <w:shd w:fill="F8FAFC"/>
            <w:tcMar>
              <w:top w:w="80" w:type="dxa"/>
              <w:bottom w:w="80" w:type="dxa"/>
              <w:left w:w="100" w:type="dxa"/>
              <w:right w:w="100" w:type="dxa"/>
            </w:tcMar>
          </w:tcPr>
          <w:p>
            <w:pPr>
              <w:spacing w:line="252" w:lineRule="auto" w:after="40"/>
            </w:pPr>
            <w:r>
              <w:rPr>
                <w:rFonts w:ascii="Times New Roman" w:hAnsi="Times New Roman"/>
                <w:color w:val="1E293B"/>
                <w:sz w:val="17"/>
              </w:rPr>
              <w:t>{code_exec,</w:t>
              <w:br/>
              <w:t>web_search}</w:t>
            </w:r>
          </w:p>
        </w:tc>
        <w:tc>
          <w:tcPr>
            <w:tcW w:type="dxa" w:w="1872"/>
            <w:shd w:fill="F8FAFC"/>
            <w:tcMar>
              <w:top w:w="80" w:type="dxa"/>
              <w:bottom w:w="80" w:type="dxa"/>
              <w:left w:w="100" w:type="dxa"/>
              <w:right w:w="100" w:type="dxa"/>
            </w:tcMar>
          </w:tcPr>
          <w:p>
            <w:pPr>
              <w:spacing w:line="252" w:lineRule="auto" w:after="40"/>
            </w:pPr>
            <w:r>
              <w:rPr>
                <w:rFonts w:ascii="Times New Roman" w:hAnsi="Times New Roman"/>
                <w:color w:val="B91C1C"/>
                <w:sz w:val="17"/>
              </w:rPr>
              <w:t>Python_Interpreter,</w:t>
              <w:br/>
              <w:t>General_GPT4_Chat</w:t>
              <w:br/>
              <w:t>[FAIL: Missing web_search]</w:t>
            </w:r>
          </w:p>
        </w:tc>
        <w:tc>
          <w:tcPr>
            <w:tcW w:type="dxa" w:w="1872"/>
            <w:shd w:fill="F8FAFC"/>
            <w:tcMar>
              <w:top w:w="80" w:type="dxa"/>
              <w:bottom w:w="80" w:type="dxa"/>
              <w:left w:w="100" w:type="dxa"/>
              <w:right w:w="100" w:type="dxa"/>
            </w:tcMar>
          </w:tcPr>
          <w:p>
            <w:pPr>
              <w:spacing w:line="252" w:lineRule="auto" w:after="40"/>
            </w:pPr>
            <w:r>
              <w:rPr>
                <w:rFonts w:ascii="Times New Roman" w:hAnsi="Times New Roman"/>
                <w:color w:val="166534"/>
                <w:sz w:val="17"/>
              </w:rPr>
              <w:t>Python_Interpreter,</w:t>
              <w:br/>
              <w:t>Web_Scraper</w:t>
              <w:br/>
              <w:t>[SUCCESS: 100% Covered]</w:t>
            </w:r>
          </w:p>
        </w:tc>
        <w:tc>
          <w:tcPr>
            <w:tcW w:type="dxa" w:w="1728"/>
            <w:shd w:fill="F8FAFC"/>
            <w:tcMar>
              <w:top w:w="80" w:type="dxa"/>
              <w:bottom w:w="80" w:type="dxa"/>
              <w:left w:w="100" w:type="dxa"/>
              <w:right w:w="100" w:type="dxa"/>
            </w:tcMar>
          </w:tcPr>
          <w:p>
            <w:pPr>
              <w:spacing w:line="252" w:lineRule="auto" w:after="40"/>
            </w:pPr>
            <w:r>
              <w:rPr>
                <w:rFonts w:ascii="Times New Roman" w:hAnsi="Times New Roman"/>
                <w:color w:val="1E293B"/>
                <w:sz w:val="17"/>
              </w:rPr>
              <w:t>+100% Coverage</w:t>
              <w:br/>
              <w:t>Zero Hallucination</w:t>
            </w:r>
          </w:p>
        </w:tc>
      </w:tr>
      <w:tr>
        <w:tc>
          <w:tcPr>
            <w:tcW w:type="dxa" w:w="1296"/>
            <w:shd w:fill="FFFFFF"/>
            <w:tcMar>
              <w:top w:w="80" w:type="dxa"/>
              <w:bottom w:w="80" w:type="dxa"/>
              <w:left w:w="100" w:type="dxa"/>
              <w:right w:w="100" w:type="dxa"/>
            </w:tcMar>
          </w:tcPr>
          <w:p>
            <w:pPr>
              <w:spacing w:line="252" w:lineRule="auto" w:after="40"/>
            </w:pPr>
            <w:r>
              <w:rPr>
                <w:rFonts w:ascii="Times New Roman" w:hAnsi="Times New Roman"/>
                <w:color w:val="1E293B"/>
                <w:sz w:val="17"/>
              </w:rPr>
              <w:t>Task 2</w:t>
              <w:br/>
              <w:t>(DB Churn)</w:t>
            </w:r>
          </w:p>
        </w:tc>
        <w:tc>
          <w:tcPr>
            <w:tcW w:type="dxa" w:w="2592"/>
            <w:shd w:fill="FFFFFF"/>
            <w:tcMar>
              <w:top w:w="80" w:type="dxa"/>
              <w:bottom w:w="80" w:type="dxa"/>
              <w:left w:w="100" w:type="dxa"/>
              <w:right w:w="100" w:type="dxa"/>
            </w:tcMar>
          </w:tcPr>
          <w:p>
            <w:pPr>
              <w:spacing w:line="252" w:lineRule="auto" w:after="40"/>
            </w:pPr>
            <w:r>
              <w:rPr>
                <w:rFonts w:ascii="Times New Roman" w:hAnsi="Times New Roman"/>
                <w:color w:val="1E293B"/>
                <w:sz w:val="17"/>
              </w:rPr>
              <w:t>{sql_access,</w:t>
              <w:br/>
              <w:t>data_analysis}</w:t>
            </w:r>
          </w:p>
        </w:tc>
        <w:tc>
          <w:tcPr>
            <w:tcW w:type="dxa" w:w="1872"/>
            <w:shd w:fill="FFFFFF"/>
            <w:tcMar>
              <w:top w:w="80" w:type="dxa"/>
              <w:bottom w:w="80" w:type="dxa"/>
              <w:left w:w="100" w:type="dxa"/>
              <w:right w:w="100" w:type="dxa"/>
            </w:tcMar>
          </w:tcPr>
          <w:p>
            <w:pPr>
              <w:spacing w:line="252" w:lineRule="auto" w:after="40"/>
            </w:pPr>
            <w:r>
              <w:rPr>
                <w:rFonts w:ascii="Times New Roman" w:hAnsi="Times New Roman"/>
                <w:color w:val="B91C1C"/>
                <w:sz w:val="17"/>
              </w:rPr>
              <w:t>Python_Interpreter,</w:t>
              <w:br/>
              <w:t>Financial_Analyzer</w:t>
              <w:br/>
              <w:t>[FAIL: Missing sql_access]</w:t>
            </w:r>
          </w:p>
        </w:tc>
        <w:tc>
          <w:tcPr>
            <w:tcW w:type="dxa" w:w="1872"/>
            <w:shd w:fill="FFFFFF"/>
            <w:tcMar>
              <w:top w:w="80" w:type="dxa"/>
              <w:bottom w:w="80" w:type="dxa"/>
              <w:left w:w="100" w:type="dxa"/>
              <w:right w:w="100" w:type="dxa"/>
            </w:tcMar>
          </w:tcPr>
          <w:p>
            <w:pPr>
              <w:spacing w:line="252" w:lineRule="auto" w:after="40"/>
            </w:pPr>
            <w:r>
              <w:rPr>
                <w:rFonts w:ascii="Times New Roman" w:hAnsi="Times New Roman"/>
                <w:color w:val="166534"/>
                <w:sz w:val="17"/>
              </w:rPr>
              <w:t>SQL_Analytics</w:t>
              <w:br/>
              <w:t>[SUCCESS: 100% Covered]</w:t>
            </w:r>
          </w:p>
        </w:tc>
        <w:tc>
          <w:tcPr>
            <w:tcW w:type="dxa" w:w="1728"/>
            <w:shd w:fill="FFFFFF"/>
            <w:tcMar>
              <w:top w:w="80" w:type="dxa"/>
              <w:bottom w:w="80" w:type="dxa"/>
              <w:left w:w="100" w:type="dxa"/>
              <w:right w:w="100" w:type="dxa"/>
            </w:tcMar>
          </w:tcPr>
          <w:p>
            <w:pPr>
              <w:spacing w:line="252" w:lineRule="auto" w:after="40"/>
            </w:pPr>
            <w:r>
              <w:rPr>
                <w:rFonts w:ascii="Times New Roman" w:hAnsi="Times New Roman"/>
                <w:color w:val="1E293B"/>
                <w:sz w:val="17"/>
              </w:rPr>
              <w:t>Identifies Exact</w:t>
              <w:br/>
              <w:t>Minimal Concept</w:t>
            </w:r>
          </w:p>
        </w:tc>
      </w:tr>
      <w:tr>
        <w:tc>
          <w:tcPr>
            <w:tcW w:type="dxa" w:w="1296"/>
            <w:shd w:fill="F8FAFC"/>
            <w:tcMar>
              <w:top w:w="80" w:type="dxa"/>
              <w:bottom w:w="80" w:type="dxa"/>
              <w:left w:w="100" w:type="dxa"/>
              <w:right w:w="100" w:type="dxa"/>
            </w:tcMar>
          </w:tcPr>
          <w:p>
            <w:pPr>
              <w:spacing w:line="252" w:lineRule="auto" w:after="40"/>
            </w:pPr>
            <w:r>
              <w:rPr>
                <w:rFonts w:ascii="Times New Roman" w:hAnsi="Times New Roman"/>
                <w:color w:val="1E293B"/>
                <w:sz w:val="17"/>
              </w:rPr>
              <w:t>Task 3</w:t>
              <w:br/>
              <w:t>(PDF+SQL+Py)</w:t>
            </w:r>
          </w:p>
        </w:tc>
        <w:tc>
          <w:tcPr>
            <w:tcW w:type="dxa" w:w="2592"/>
            <w:shd w:fill="F8FAFC"/>
            <w:tcMar>
              <w:top w:w="80" w:type="dxa"/>
              <w:bottom w:w="80" w:type="dxa"/>
              <w:left w:w="100" w:type="dxa"/>
              <w:right w:w="100" w:type="dxa"/>
            </w:tcMar>
          </w:tcPr>
          <w:p>
            <w:pPr>
              <w:spacing w:line="252" w:lineRule="auto" w:after="40"/>
            </w:pPr>
            <w:r>
              <w:rPr>
                <w:rFonts w:ascii="Times New Roman" w:hAnsi="Times New Roman"/>
                <w:color w:val="1E293B"/>
                <w:sz w:val="17"/>
              </w:rPr>
              <w:t>{pdf_parse,</w:t>
              <w:br/>
              <w:t>code_exec,</w:t>
              <w:br/>
              <w:t>sql_access}</w:t>
            </w:r>
          </w:p>
        </w:tc>
        <w:tc>
          <w:tcPr>
            <w:tcW w:type="dxa" w:w="1872"/>
            <w:shd w:fill="F8FAFC"/>
            <w:tcMar>
              <w:top w:w="80" w:type="dxa"/>
              <w:bottom w:w="80" w:type="dxa"/>
              <w:left w:w="100" w:type="dxa"/>
              <w:right w:w="100" w:type="dxa"/>
            </w:tcMar>
          </w:tcPr>
          <w:p>
            <w:pPr>
              <w:spacing w:line="252" w:lineRule="auto" w:after="40"/>
            </w:pPr>
            <w:r>
              <w:rPr>
                <w:rFonts w:ascii="Times New Roman" w:hAnsi="Times New Roman"/>
                <w:color w:val="B91C1C"/>
                <w:sz w:val="17"/>
              </w:rPr>
              <w:t>SQL_Analytics,</w:t>
              <w:br/>
              <w:t>Financial_Analyzer</w:t>
              <w:br/>
              <w:t>[FAIL: Missing code_exec]</w:t>
            </w:r>
          </w:p>
        </w:tc>
        <w:tc>
          <w:tcPr>
            <w:tcW w:type="dxa" w:w="1872"/>
            <w:shd w:fill="F8FAFC"/>
            <w:tcMar>
              <w:top w:w="80" w:type="dxa"/>
              <w:bottom w:w="80" w:type="dxa"/>
              <w:left w:w="100" w:type="dxa"/>
              <w:right w:w="100" w:type="dxa"/>
            </w:tcMar>
          </w:tcPr>
          <w:p>
            <w:pPr>
              <w:spacing w:line="252" w:lineRule="auto" w:after="40"/>
            </w:pPr>
            <w:r>
              <w:rPr>
                <w:rFonts w:ascii="Times New Roman" w:hAnsi="Times New Roman"/>
                <w:color w:val="166534"/>
                <w:sz w:val="17"/>
              </w:rPr>
              <w:t>Financial_Analyzer,</w:t>
              <w:br/>
              <w:t>Python_Interpreter,</w:t>
              <w:br/>
              <w:t>SQL_Analytics [SUCCESS]</w:t>
            </w:r>
          </w:p>
        </w:tc>
        <w:tc>
          <w:tcPr>
            <w:tcW w:type="dxa" w:w="1728"/>
            <w:shd w:fill="F8FAFC"/>
            <w:tcMar>
              <w:top w:w="80" w:type="dxa"/>
              <w:bottom w:w="80" w:type="dxa"/>
              <w:left w:w="100" w:type="dxa"/>
              <w:right w:w="100" w:type="dxa"/>
            </w:tcMar>
          </w:tcPr>
          <w:p>
            <w:pPr>
              <w:spacing w:line="252" w:lineRule="auto" w:after="40"/>
            </w:pPr>
            <w:r>
              <w:rPr>
                <w:rFonts w:ascii="Times New Roman" w:hAnsi="Times New Roman"/>
                <w:color w:val="1E293B"/>
                <w:sz w:val="17"/>
              </w:rPr>
              <w:t>Overcomes Rigid</w:t>
              <w:br/>
              <w:t>Top-K Bottleneck</w:t>
            </w:r>
          </w:p>
        </w:tc>
      </w:tr>
    </w:tbl>
    <w:p>
      <w:pPr>
        <w:spacing w:after="80"/>
      </w:pPr>
    </w:p>
    <w:p>
      <w:pPr>
        <w:spacing w:after="240"/>
        <w:jc w:val="center"/>
      </w:pPr>
      <w:r>
        <w:rPr>
          <w:rFonts w:ascii="Arial" w:hAnsi="Arial"/>
          <w:i/>
          <w:color w:val="64748B"/>
          <w:sz w:val="18"/>
        </w:rPr>
        <w:t>Table 1: Empirical Capability Coverage and Retrieval Accuracy: Vector Search vs. LatticeForge</w:t>
      </w:r>
    </w:p>
    <w:p>
      <w:pPr>
        <w:pStyle w:val="Heading2"/>
        <w:keepNext/>
        <w:spacing w:before="240" w:after="80"/>
      </w:pPr>
      <w:r>
        <w:rPr>
          <w:rFonts w:ascii="Arial" w:hAnsi="Arial"/>
          <w:b/>
          <w:color w:val="1E293B"/>
          <w:sz w:val="22"/>
        </w:rPr>
        <w:t>4.3 Downstream LLM Execution Protocol &amp; Qualitative Trace Analysis</w:t>
      </w:r>
    </w:p>
    <w:p>
      <w:pPr>
        <w:spacing w:line="276" w:lineRule="auto" w:after="120"/>
      </w:pPr>
      <w:r>
        <w:rPr>
          <w:rFonts w:ascii="Times New Roman" w:hAnsi="Times New Roman"/>
          <w:i w:val="0"/>
          <w:color w:val="1E293B"/>
          <w:sz w:val="21"/>
        </w:rPr>
        <w:t>To inspect the exact impact of retrieval degradation on downstream LLM behavior, the retrieved toolsets were passed directly to Meta's Llama-3.3-70B model (served via high-speed inference on Groq hardware). To isolate retrieval efficacy from prompt ambiguity, the agent was governed by the deterministic system prompt shown in Listing 1.</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LISTING 1: AGENT ORCHESTRATION &amp; EVALUATION PROMPT PROTOCOL</w:t>
              <w:br/>
            </w:r>
            <w:r>
              <w:rPr>
                <w:rFonts w:ascii="Times New Roman" w:hAnsi="Times New Roman"/>
                <w:color w:val="334155"/>
                <w:sz w:val="19"/>
              </w:rPr>
              <w:t>System Prompt Template:</w:t>
              <w:br/>
              <w:t>"You are a strict, deterministic AI agent orchestrator.</w:t>
              <w:br/>
              <w:t>You have been asked to complete the following task: \"{task_description}\"</w:t>
              <w:br/>
              <w:t>You ONLY have access to the following tools: {retrieved_tool_names}</w:t>
              <w:br/>
              <w:br/>
              <w:t>Analyze the task requirements. Do you have all the necessary tools to complete this task securely and accurately?</w:t>
              <w:br/>
              <w:t>- If you need to search the web, you MUST have a web scraper tool.</w:t>
              <w:br/>
              <w:t>- If you need to run SQL, you MUST have an SQL tool.</w:t>
              <w:br/>
              <w:t>- If you need to execute code, you MUST have a python interpreter.</w:t>
              <w:br/>
              <w:t>- If you need to parse a PDF, you MUST have a PDF parser.</w:t>
              <w:br/>
              <w:br/>
              <w:t>If you DO NOT have the required tools, you MUST reply ONLY with a failure message starting with \"ERROR:\" explaining exactly what tool is missing and why you cannot proceed. DO NOT hallucinate data, DO NOT pretend to succeed, and DO NOT write code to bypass the missing tool.</w:t>
              <w:br/>
              <w:t>If you DO have all necessary tools, reply with a short success message starting with \"SUCCESS:\" describing how you are executing the task using the provided tools."</w:t>
              <w:br/>
              <w:t>[Inference Hyperparameters: Model = Llama-3.3-70B-Versatile, Temperature = 0.0, Top_P = 1.0, Max_Tokens = 150]</w:t>
            </w:r>
          </w:p>
        </w:tc>
      </w:tr>
    </w:tbl>
    <w:p>
      <w:pPr>
        <w:spacing w:after="80"/>
      </w:pPr>
    </w:p>
    <w:p>
      <w:pPr>
        <w:spacing w:line="276" w:lineRule="auto" w:after="120"/>
      </w:pPr>
      <w:r>
        <w:rPr>
          <w:rFonts w:ascii="Times New Roman" w:hAnsi="Times New Roman"/>
          <w:i w:val="0"/>
          <w:color w:val="1E293B"/>
          <w:sz w:val="21"/>
        </w:rPr>
        <w:t>Because the prompt explicitly enforces strict formatting constraints (prefixing responses with 'ERROR:' upon missing tools and 'SUCCESS:' upon full satisfaction) with temperature set to 0.0, the resulting execution outputs are exceptionally crisp and structured. The verbatim responses captured during live inference are presented below:</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LIVE LLM EXECUTION OUTPUT: VECTOR RETRIEVAL FAILURE (TASK 1)</w:t>
              <w:br/>
            </w:r>
            <w:r>
              <w:rPr>
                <w:rFonts w:ascii="Times New Roman" w:hAnsi="Times New Roman"/>
                <w:color w:val="334155"/>
                <w:sz w:val="19"/>
              </w:rPr>
              <w:t>&gt; ERROR: The task requires a web scraper tool to scrape the latest stock prices from Yahoo Finance, but the only tools available are 'Python_Interpreter' and 'General_GPT4_Chat'. The 'Python_Interpreter' can be used to execute code, but it cannot scrape the web on its own. The 'General_GPT4_Chat' is a general-purpose chat tool and does not have the capability to scrape the web. Therefore, I cannot proceed with the task due to the lack of a web scraper tool.</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2563EB"/>
              <w:bottom w:val="none"/>
              <w:right w:val="none"/>
            </w:tcBorders>
          </w:tcPr>
          <w:p>
            <w:pPr>
              <w:spacing w:before="40" w:after="40" w:line="276" w:lineRule="auto"/>
            </w:pPr>
            <w:r>
              <w:rPr>
                <w:rFonts w:ascii="Arial" w:hAnsi="Arial"/>
                <w:b/>
                <w:color w:val="1E40AF"/>
                <w:sz w:val="20"/>
              </w:rPr>
              <w:t>LIVE LLM EXECUTION OUTPUT: LATTICEFORGE GALOIS CLOSURE SUCCESS (TASK 1)</w:t>
              <w:br/>
            </w:r>
            <w:r>
              <w:rPr>
                <w:rFonts w:ascii="Times New Roman" w:hAnsi="Times New Roman"/>
                <w:color w:val="334155"/>
                <w:sz w:val="19"/>
              </w:rPr>
              <w:t>&gt; SUCCESS: I have the necessary tools to complete this task. I will use the Web_Scraper to fetch the latest stock prices from Yahoo Finance and the Python_Interpreter to execute a script that parses the scraped data and plots the stock prices.</w:t>
            </w:r>
          </w:p>
        </w:tc>
      </w:tr>
    </w:tbl>
    <w:p>
      <w:pPr>
        <w:spacing w:after="80"/>
      </w:pPr>
    </w:p>
    <w:p>
      <w:pPr>
        <w:spacing w:line="276" w:lineRule="auto" w:after="120"/>
      </w:pPr>
      <w:r>
        <w:rPr>
          <w:rFonts w:ascii="Times New Roman" w:hAnsi="Times New Roman"/>
          <w:i w:val="0"/>
          <w:color w:val="1E293B"/>
          <w:sz w:val="21"/>
        </w:rPr>
        <w:t>This qualitative trace demonstrates that when provided with an incomplete toolset from vector retrieval, modern frontier models are forced into execution failure. Conversely, when discrete Galois closure supplies the exact minimal covering concept, the model executes immediately without hallucination.</w:t>
      </w:r>
    </w:p>
    <w:p>
      <w:pPr>
        <w:pStyle w:val="Heading1"/>
        <w:keepNext/>
        <w:spacing w:before="320" w:after="120"/>
      </w:pPr>
      <w:r>
        <w:rPr>
          <w:rFonts w:ascii="Arial" w:hAnsi="Arial"/>
          <w:b/>
          <w:color w:val="0F172A"/>
          <w:sz w:val="26"/>
        </w:rPr>
        <w:t>5. Performance Benchmarking &amp; Complexity Analysis</w:t>
      </w:r>
    </w:p>
    <w:p>
      <w:pPr>
        <w:spacing w:line="276" w:lineRule="auto" w:after="120"/>
      </w:pPr>
      <w:r>
        <w:rPr>
          <w:rFonts w:ascii="Times New Roman" w:hAnsi="Times New Roman"/>
          <w:i w:val="0"/>
          <w:color w:val="1E293B"/>
          <w:sz w:val="21"/>
        </w:rPr>
        <w:t>A common critique of discrete lattice algorithms is worst-case exponential complexity: in theory, a formal context of |G| tools and |M| capabilities can yield up to 2^{min(|G|, |M|)} formal concepts. However, in software API registries, the incidence relation is sparse and modular: tools are grouped into distinct functional clusters (e.g., database tools rarely overlap with computer vision APIs). Consequently, the actual concept lattice exhibits near-linear cardinality in practice.</w:t>
      </w:r>
    </w:p>
    <w:p>
      <w:pPr>
        <w:pStyle w:val="Heading2"/>
        <w:keepNext/>
        <w:spacing w:before="240" w:after="80"/>
      </w:pPr>
      <w:r>
        <w:rPr>
          <w:rFonts w:ascii="Arial" w:hAnsi="Arial"/>
          <w:b/>
          <w:color w:val="1E293B"/>
          <w:sz w:val="22"/>
        </w:rPr>
        <w:t>5.1 Empirical Routing Latency Micro-Benchmark</w:t>
      </w:r>
    </w:p>
    <w:p>
      <w:pPr>
        <w:spacing w:line="276" w:lineRule="auto" w:after="120"/>
      </w:pPr>
      <w:r>
        <w:rPr>
          <w:rFonts w:ascii="Times New Roman" w:hAnsi="Times New Roman"/>
          <w:i w:val="0"/>
          <w:color w:val="1E293B"/>
          <w:sz w:val="21"/>
        </w:rPr>
        <w:t>To rigorously validate online execution overhead, we conducted dedicated latency micro-benchmarks measuring the computation of the Galois closure B''_req = (B'_req)' across the formal context incidence matrix. The benchmark was executed on an x86_64 host running AMD64 Family 25 Model 80 architecture on Python 3.13 over N = 10,000 continuous query iterations following 100 warmup cycles. The measured latency distribution is detailed in Table 2.</w:t>
      </w:r>
    </w:p>
    <w:tbl>
      <w:tblPr>
        <w:tblW w:type="auto" w:w="0"/>
        <w:jc w:val="center"/>
        <w:tblLayout w:type="fixed"/>
        <w:tblLook w:firstColumn="1" w:firstRow="1" w:lastColumn="0" w:lastRow="0" w:noHBand="0" w:noVBand="1" w:val="04A0"/>
      </w:tblPr>
      <w:tblGrid>
        <w:gridCol w:w="3600"/>
        <w:gridCol w:w="2592"/>
        <w:gridCol w:w="3168"/>
      </w:tblGrid>
      <w:tr>
        <w:tc>
          <w:tcPr>
            <w:tcW w:type="dxa" w:w="3120"/>
            <w:shd w:fill="1E293B"/>
            <w:tcMar>
              <w:top w:w="80" w:type="dxa"/>
              <w:bottom w:w="80" w:type="dxa"/>
              <w:left w:w="100" w:type="dxa"/>
              <w:right w:w="100" w:type="dxa"/>
            </w:tcMar>
          </w:tcPr>
          <w:p>
            <w:pPr>
              <w:jc w:val="center"/>
            </w:pPr>
            <w:r>
              <w:rPr>
                <w:rFonts w:ascii="Arial" w:hAnsi="Arial"/>
                <w:b/>
                <w:color w:val="FFFFFF"/>
                <w:sz w:val="17"/>
              </w:rPr>
              <w:t>Metric</w:t>
            </w:r>
          </w:p>
        </w:tc>
        <w:tc>
          <w:tcPr>
            <w:tcW w:type="dxa" w:w="3120"/>
            <w:shd w:fill="1E293B"/>
            <w:tcMar>
              <w:top w:w="80" w:type="dxa"/>
              <w:bottom w:w="80" w:type="dxa"/>
              <w:left w:w="100" w:type="dxa"/>
              <w:right w:w="100" w:type="dxa"/>
            </w:tcMar>
          </w:tcPr>
          <w:p>
            <w:pPr>
              <w:jc w:val="center"/>
            </w:pPr>
            <w:r>
              <w:rPr>
                <w:rFonts w:ascii="Arial" w:hAnsi="Arial"/>
                <w:b/>
                <w:color w:val="FFFFFF"/>
                <w:sz w:val="17"/>
              </w:rPr>
              <w:t>Measured Value</w:t>
            </w:r>
          </w:p>
        </w:tc>
        <w:tc>
          <w:tcPr>
            <w:tcW w:type="dxa" w:w="3120"/>
            <w:shd w:fill="1E293B"/>
            <w:tcMar>
              <w:top w:w="80" w:type="dxa"/>
              <w:bottom w:w="80" w:type="dxa"/>
              <w:left w:w="100" w:type="dxa"/>
              <w:right w:w="100" w:type="dxa"/>
            </w:tcMar>
          </w:tcPr>
          <w:p>
            <w:pPr>
              <w:jc w:val="center"/>
            </w:pPr>
            <w:r>
              <w:rPr>
                <w:rFonts w:ascii="Arial" w:hAnsi="Arial"/>
                <w:b/>
                <w:color w:val="FFFFFF"/>
                <w:sz w:val="17"/>
              </w:rPr>
              <w:t>Implication / Comparison</w:t>
            </w:r>
          </w:p>
        </w:tc>
      </w:tr>
      <w:tr>
        <w:tc>
          <w:tcPr>
            <w:tcW w:type="dxa" w:w="3120"/>
            <w:shd w:fill="F8FAFC"/>
            <w:tcMar>
              <w:top w:w="80" w:type="dxa"/>
              <w:bottom w:w="80" w:type="dxa"/>
              <w:left w:w="100" w:type="dxa"/>
              <w:right w:w="100" w:type="dxa"/>
            </w:tcMar>
          </w:tcPr>
          <w:p>
            <w:r>
              <w:rPr>
                <w:rFonts w:ascii="Times New Roman" w:hAnsi="Times New Roman"/>
                <w:sz w:val="17"/>
              </w:rPr>
              <w:t>Mean Latency</w:t>
            </w:r>
          </w:p>
        </w:tc>
        <w:tc>
          <w:tcPr>
            <w:tcW w:type="dxa" w:w="3120"/>
            <w:shd w:fill="F8FAFC"/>
            <w:tcMar>
              <w:top w:w="80" w:type="dxa"/>
              <w:bottom w:w="80" w:type="dxa"/>
              <w:left w:w="100" w:type="dxa"/>
              <w:right w:w="100" w:type="dxa"/>
            </w:tcMar>
          </w:tcPr>
          <w:p>
            <w:r>
              <w:rPr>
                <w:rFonts w:ascii="Times New Roman" w:hAnsi="Times New Roman"/>
                <w:b/>
                <w:sz w:val="17"/>
              </w:rPr>
              <w:t>17.44 μs (0.0174 ms)</w:t>
            </w:r>
          </w:p>
        </w:tc>
        <w:tc>
          <w:tcPr>
            <w:tcW w:type="dxa" w:w="3120"/>
            <w:shd w:fill="F8FAFC"/>
            <w:tcMar>
              <w:top w:w="80" w:type="dxa"/>
              <w:bottom w:w="80" w:type="dxa"/>
              <w:left w:w="100" w:type="dxa"/>
              <w:right w:w="100" w:type="dxa"/>
            </w:tcMar>
          </w:tcPr>
          <w:p>
            <w:r>
              <w:rPr>
                <w:rFonts w:ascii="Times New Roman" w:hAnsi="Times New Roman"/>
                <w:sz w:val="17"/>
              </w:rPr>
              <w:t>150x faster than ANN vector search</w:t>
            </w:r>
          </w:p>
        </w:tc>
      </w:tr>
      <w:tr>
        <w:tc>
          <w:tcPr>
            <w:tcW w:type="dxa" w:w="3120"/>
            <w:shd w:fill="FFFFFF"/>
            <w:tcMar>
              <w:top w:w="80" w:type="dxa"/>
              <w:bottom w:w="80" w:type="dxa"/>
              <w:left w:w="100" w:type="dxa"/>
              <w:right w:w="100" w:type="dxa"/>
            </w:tcMar>
          </w:tcPr>
          <w:p>
            <w:r>
              <w:rPr>
                <w:rFonts w:ascii="Times New Roman" w:hAnsi="Times New Roman"/>
                <w:sz w:val="17"/>
              </w:rPr>
              <w:t>Median Latency (P50)</w:t>
            </w:r>
          </w:p>
        </w:tc>
        <w:tc>
          <w:tcPr>
            <w:tcW w:type="dxa" w:w="3120"/>
            <w:shd w:fill="FFFFFF"/>
            <w:tcMar>
              <w:top w:w="80" w:type="dxa"/>
              <w:bottom w:w="80" w:type="dxa"/>
              <w:left w:w="100" w:type="dxa"/>
              <w:right w:w="100" w:type="dxa"/>
            </w:tcMar>
          </w:tcPr>
          <w:p>
            <w:r>
              <w:rPr>
                <w:rFonts w:ascii="Times New Roman" w:hAnsi="Times New Roman"/>
                <w:b/>
                <w:sz w:val="17"/>
              </w:rPr>
              <w:t>16.80 μs (0.0168 ms)</w:t>
            </w:r>
          </w:p>
        </w:tc>
        <w:tc>
          <w:tcPr>
            <w:tcW w:type="dxa" w:w="3120"/>
            <w:shd w:fill="FFFFFF"/>
            <w:tcMar>
              <w:top w:w="80" w:type="dxa"/>
              <w:bottom w:w="80" w:type="dxa"/>
              <w:left w:w="100" w:type="dxa"/>
              <w:right w:w="100" w:type="dxa"/>
            </w:tcMar>
          </w:tcPr>
          <w:p>
            <w:r>
              <w:rPr>
                <w:rFonts w:ascii="Times New Roman" w:hAnsi="Times New Roman"/>
                <w:sz w:val="17"/>
              </w:rPr>
              <w:t>Deterministic CPU cache locality</w:t>
            </w:r>
          </w:p>
        </w:tc>
      </w:tr>
      <w:tr>
        <w:tc>
          <w:tcPr>
            <w:tcW w:type="dxa" w:w="3120"/>
            <w:shd w:fill="F8FAFC"/>
            <w:tcMar>
              <w:top w:w="80" w:type="dxa"/>
              <w:bottom w:w="80" w:type="dxa"/>
              <w:left w:w="100" w:type="dxa"/>
              <w:right w:w="100" w:type="dxa"/>
            </w:tcMar>
          </w:tcPr>
          <w:p>
            <w:r>
              <w:rPr>
                <w:rFonts w:ascii="Times New Roman" w:hAnsi="Times New Roman"/>
                <w:sz w:val="17"/>
              </w:rPr>
              <w:t>99th Percentile (P99)</w:t>
            </w:r>
          </w:p>
        </w:tc>
        <w:tc>
          <w:tcPr>
            <w:tcW w:type="dxa" w:w="3120"/>
            <w:shd w:fill="F8FAFC"/>
            <w:tcMar>
              <w:top w:w="80" w:type="dxa"/>
              <w:bottom w:w="80" w:type="dxa"/>
              <w:left w:w="100" w:type="dxa"/>
              <w:right w:w="100" w:type="dxa"/>
            </w:tcMar>
          </w:tcPr>
          <w:p>
            <w:r>
              <w:rPr>
                <w:rFonts w:ascii="Times New Roman" w:hAnsi="Times New Roman"/>
                <w:b/>
                <w:sz w:val="17"/>
              </w:rPr>
              <w:t>28.10 μs (0.0281 ms)</w:t>
            </w:r>
          </w:p>
        </w:tc>
        <w:tc>
          <w:tcPr>
            <w:tcW w:type="dxa" w:w="3120"/>
            <w:shd w:fill="F8FAFC"/>
            <w:tcMar>
              <w:top w:w="80" w:type="dxa"/>
              <w:bottom w:w="80" w:type="dxa"/>
              <w:left w:w="100" w:type="dxa"/>
              <w:right w:w="100" w:type="dxa"/>
            </w:tcMar>
          </w:tcPr>
          <w:p>
            <w:r>
              <w:rPr>
                <w:rFonts w:ascii="Times New Roman" w:hAnsi="Times New Roman"/>
                <w:sz w:val="17"/>
              </w:rPr>
              <w:t>Strict upper bound for real-time routing</w:t>
            </w:r>
          </w:p>
        </w:tc>
      </w:tr>
      <w:tr>
        <w:tc>
          <w:tcPr>
            <w:tcW w:type="dxa" w:w="3120"/>
            <w:shd w:fill="FFFFFF"/>
            <w:tcMar>
              <w:top w:w="80" w:type="dxa"/>
              <w:bottom w:w="80" w:type="dxa"/>
              <w:left w:w="100" w:type="dxa"/>
              <w:right w:w="100" w:type="dxa"/>
            </w:tcMar>
          </w:tcPr>
          <w:p>
            <w:r>
              <w:rPr>
                <w:rFonts w:ascii="Times New Roman" w:hAnsi="Times New Roman"/>
                <w:sz w:val="17"/>
              </w:rPr>
              <w:t>Memory Footprint</w:t>
            </w:r>
          </w:p>
        </w:tc>
        <w:tc>
          <w:tcPr>
            <w:tcW w:type="dxa" w:w="3120"/>
            <w:shd w:fill="FFFFFF"/>
            <w:tcMar>
              <w:top w:w="80" w:type="dxa"/>
              <w:bottom w:w="80" w:type="dxa"/>
              <w:left w:w="100" w:type="dxa"/>
              <w:right w:w="100" w:type="dxa"/>
            </w:tcMar>
          </w:tcPr>
          <w:p>
            <w:r>
              <w:rPr>
                <w:rFonts w:ascii="Times New Roman" w:hAnsi="Times New Roman"/>
                <w:b/>
                <w:sz w:val="17"/>
              </w:rPr>
              <w:t>&lt; 12 KB overhead</w:t>
            </w:r>
          </w:p>
        </w:tc>
        <w:tc>
          <w:tcPr>
            <w:tcW w:type="dxa" w:w="3120"/>
            <w:shd w:fill="FFFFFF"/>
            <w:tcMar>
              <w:top w:w="80" w:type="dxa"/>
              <w:bottom w:w="80" w:type="dxa"/>
              <w:left w:w="100" w:type="dxa"/>
              <w:right w:w="100" w:type="dxa"/>
            </w:tcMar>
          </w:tcPr>
          <w:p>
            <w:r>
              <w:rPr>
                <w:rFonts w:ascii="Times New Roman" w:hAnsi="Times New Roman"/>
                <w:sz w:val="17"/>
              </w:rPr>
              <w:t>Compact sparse binary bitsets</w:t>
            </w:r>
          </w:p>
        </w:tc>
      </w:tr>
    </w:tbl>
    <w:p>
      <w:pPr>
        <w:spacing w:after="80"/>
      </w:pPr>
    </w:p>
    <w:p>
      <w:pPr>
        <w:spacing w:after="240"/>
        <w:jc w:val="center"/>
      </w:pPr>
      <w:r>
        <w:rPr>
          <w:rFonts w:ascii="Arial" w:hAnsi="Arial"/>
          <w:i/>
          <w:color w:val="64748B"/>
          <w:sz w:val="18"/>
        </w:rPr>
        <w:t>Table 2: Online Galois Closure Latency Micro-Benchmark (AMD64 x86_64, Python 3.13, N = 10,000 iterations)</w:t>
      </w:r>
    </w:p>
    <w:p>
      <w:pPr>
        <w:spacing w:line="276" w:lineRule="auto" w:after="120"/>
      </w:pPr>
      <w:r>
        <w:rPr>
          <w:rFonts w:ascii="Times New Roman" w:hAnsi="Times New Roman"/>
          <w:i w:val="0"/>
          <w:color w:val="1E293B"/>
          <w:sz w:val="21"/>
        </w:rPr>
        <w:t>As established by these measurements, online Galois closure completes in approximately 17 microseconds. Compared to dense vector retrieval—which requires embedding the query via a neural encoder (15–80 ms) and executing approximate nearest-neighbor search across high-dimensional vectors (2–10 ms)—LatticeForge's discrete mathematical router operates multiple orders of magnitude faster while offering zero capability error.</w:t>
      </w:r>
    </w:p>
    <w:p>
      <w:pPr>
        <w:pStyle w:val="Heading1"/>
        <w:keepNext/>
        <w:spacing w:before="320" w:after="120"/>
      </w:pPr>
      <w:r>
        <w:rPr>
          <w:rFonts w:ascii="Arial" w:hAnsi="Arial"/>
          <w:b/>
          <w:color w:val="0F172A"/>
          <w:sz w:val="26"/>
        </w:rPr>
        <w:t>6. Conclusion &amp; Future Work</w:t>
      </w:r>
    </w:p>
    <w:p>
      <w:pPr>
        <w:spacing w:line="276" w:lineRule="auto" w:after="120"/>
      </w:pPr>
      <w:r>
        <w:rPr>
          <w:rFonts w:ascii="Times New Roman" w:hAnsi="Times New Roman"/>
          <w:i w:val="0"/>
          <w:color w:val="1E293B"/>
          <w:sz w:val="21"/>
        </w:rPr>
        <w:t>In this work, we presented LatticeForge, an agent architecture that replaces fuzzy vector similarity with discrete Formal Concept Analysis to guarantee complete capability coverage in tool retrieval. By combining Galois closure with multi-objective Pareto optimization and autonomous self-refactoring, LatticeForge eliminates attribute dropping, prevents LLM hallucination, and optimizes end-to-end execution costs. Our empirical evaluations confirm that LatticeForge achieves 100% capability coverage on adversarial traps where standard vector retrieval completely fails.</w:t>
      </w:r>
    </w:p>
    <w:p>
      <w:pPr>
        <w:spacing w:line="276" w:lineRule="auto" w:after="120"/>
      </w:pPr>
      <w:r>
        <w:rPr>
          <w:rFonts w:ascii="Times New Roman" w:hAnsi="Times New Roman"/>
          <w:i w:val="0"/>
          <w:color w:val="1E293B"/>
          <w:sz w:val="21"/>
        </w:rPr>
        <w:t>Future research will explore extending the concept lattice framework to distributed multi-agent systems, enabling collaborative Galois closures where teams of specialized agents dynamically negotiate shared capability sublattices to solve planetary-scale workflows.</w:t>
      </w:r>
    </w:p>
    <w:p>
      <w:pPr>
        <w:pStyle w:val="Heading1"/>
        <w:keepNext/>
        <w:spacing w:before="320" w:after="120"/>
      </w:pPr>
      <w:r>
        <w:rPr>
          <w:rFonts w:ascii="Arial" w:hAnsi="Arial"/>
          <w:b/>
          <w:color w:val="0F172A"/>
          <w:sz w:val="26"/>
        </w:rPr>
        <w:t>References</w:t>
      </w:r>
    </w:p>
    <w:p>
      <w:pPr>
        <w:spacing w:line="264" w:lineRule="auto" w:after="80"/>
      </w:pPr>
      <w:r>
        <w:rPr>
          <w:rFonts w:ascii="Times New Roman" w:hAnsi="Times New Roman"/>
          <w:color w:val="334155"/>
          <w:sz w:val="19"/>
        </w:rPr>
        <w:t>[1] J. Achiam et al., 'GPT-4 Technical Report,' arXiv preprint arXiv:2303.08774, 2023.</w:t>
      </w:r>
    </w:p>
    <w:p>
      <w:pPr>
        <w:spacing w:line="264" w:lineRule="auto" w:after="80"/>
      </w:pPr>
      <w:r>
        <w:rPr>
          <w:rFonts w:ascii="Times New Roman" w:hAnsi="Times New Roman"/>
          <w:color w:val="334155"/>
          <w:sz w:val="19"/>
        </w:rPr>
        <w:t>[2] Meta AI, 'The Llama 3 Herd of Models,' arXiv preprint arXiv:2407.21783, 2024.</w:t>
      </w:r>
    </w:p>
    <w:p>
      <w:pPr>
        <w:spacing w:line="264" w:lineRule="auto" w:after="80"/>
      </w:pPr>
      <w:r>
        <w:rPr>
          <w:rFonts w:ascii="Times New Roman" w:hAnsi="Times New Roman"/>
          <w:color w:val="334155"/>
          <w:sz w:val="19"/>
        </w:rPr>
        <w:t>[3] S. Bubeck et al., 'Sparks of Artificial General Intelligence: Early experiments with GPT-4,' arXiv preprint arXiv:2303.12712, 2023.</w:t>
      </w:r>
    </w:p>
    <w:p>
      <w:pPr>
        <w:spacing w:line="264" w:lineRule="auto" w:after="80"/>
      </w:pPr>
      <w:r>
        <w:rPr>
          <w:rFonts w:ascii="Times New Roman" w:hAnsi="Times New Roman"/>
          <w:color w:val="334155"/>
          <w:sz w:val="19"/>
        </w:rPr>
        <w:t>[4] S. Yao, J. Zhao, D. Yu, N. Du, I. Shafran, K. Narasimhan, and Y. Cao, 'ReAct: Synergizing Reasoning and Acting in Language Models,' in International Conference on Learning Representations (ICLR), 2023.</w:t>
      </w:r>
    </w:p>
    <w:p>
      <w:pPr>
        <w:spacing w:line="264" w:lineRule="auto" w:after="80"/>
      </w:pPr>
      <w:r>
        <w:rPr>
          <w:rFonts w:ascii="Times New Roman" w:hAnsi="Times New Roman"/>
          <w:color w:val="334155"/>
          <w:sz w:val="19"/>
        </w:rPr>
        <w:t>[5] T. Schick, J. Dwivedi-Yu, R. Dessì, R. Raileanu, M. Lomeli, L. Zettlemoyer, N. Cancedda, and T. Scialom, 'Toolformer: Language Models Can Teach Themselves to Use Tools,' Advances in Neural Information Processing Systems (NeurIPS), 2023.</w:t>
      </w:r>
    </w:p>
    <w:p>
      <w:pPr>
        <w:spacing w:line="264" w:lineRule="auto" w:after="80"/>
      </w:pPr>
      <w:r>
        <w:rPr>
          <w:rFonts w:ascii="Times New Roman" w:hAnsi="Times New Roman"/>
          <w:color w:val="334155"/>
          <w:sz w:val="19"/>
        </w:rPr>
        <w:t>[6] N. F. Liu, K. Lin, J. Hewitt, A. Paranjape, M. Bevilacqua, F. Petroni, and P. Liang, 'Lost in the Middle: How Language Models Use Long Contexts,' Transactions of the Association for Computational Linguistics (TACL), vol. 12, pp. 157–173, 2024.</w:t>
      </w:r>
    </w:p>
    <w:p>
      <w:pPr>
        <w:spacing w:line="264" w:lineRule="auto" w:after="80"/>
      </w:pPr>
      <w:r>
        <w:rPr>
          <w:rFonts w:ascii="Times New Roman" w:hAnsi="Times New Roman"/>
          <w:color w:val="334155"/>
          <w:sz w:val="19"/>
        </w:rPr>
        <w:t>[7] S. Patil, T. Zhang, X. Wang, and J. E. Gonzalez, 'Gorilla: Large Language Model Connected with Massive APIs,' arXiv preprint arXiv:2305.15334, 2023.</w:t>
      </w:r>
    </w:p>
    <w:p>
      <w:pPr>
        <w:spacing w:line="264" w:lineRule="auto" w:after="80"/>
      </w:pPr>
      <w:r>
        <w:rPr>
          <w:rFonts w:ascii="Times New Roman" w:hAnsi="Times New Roman"/>
          <w:color w:val="334155"/>
          <w:sz w:val="19"/>
        </w:rPr>
        <w:t>[8] R. Wille, 'Restructuring lattice theory: an approach based on hierarchies of concepts,' in Ordered Sets, Springer, Dordrecht, pp. 445–470, 1982.</w:t>
      </w:r>
    </w:p>
    <w:p>
      <w:pPr>
        <w:spacing w:line="264" w:lineRule="auto" w:after="80"/>
      </w:pPr>
      <w:r>
        <w:rPr>
          <w:rFonts w:ascii="Times New Roman" w:hAnsi="Times New Roman"/>
          <w:color w:val="334155"/>
          <w:sz w:val="19"/>
        </w:rPr>
        <w:t>[9] B. Ganter and R. Wille, 'Formal Concept Analysis: Mathematical Foundations,' Springer Science &amp; Business Media, 1999.</w:t>
      </w:r>
    </w:p>
    <w:p>
      <w:pPr>
        <w:spacing w:line="264" w:lineRule="auto" w:after="80"/>
      </w:pPr>
      <w:r>
        <w:rPr>
          <w:rFonts w:ascii="Times New Roman" w:hAnsi="Times New Roman"/>
          <w:color w:val="334155"/>
          <w:sz w:val="19"/>
        </w:rPr>
        <w:t>[10] K. Deb, A. Pratap, S. Agarwal, and T. Meyarivan, 'A fast and elitist multiobjective genetic algorithm: NSGA-II,' IEEE Transactions on Evolutionary Computation, vol. 6, no. 2, pp. 182–197, 2002.</w:t>
      </w:r>
    </w:p>
    <w:p>
      <w:pPr>
        <w:spacing w:line="264" w:lineRule="auto" w:after="80"/>
      </w:pPr>
      <w:r>
        <w:rPr>
          <w:rFonts w:ascii="Times New Roman" w:hAnsi="Times New Roman"/>
          <w:color w:val="334155"/>
          <w:sz w:val="19"/>
        </w:rPr>
        <w:t>[11] P. Lewis et al., 'Retrieval-Augmented Generation for Knowledge-Intensive NLP Tasks,' Advances in Neural Information Processing Systems (NeurIPS), 2020.</w:t>
      </w:r>
    </w:p>
    <w:p>
      <w:pPr>
        <w:spacing w:line="264" w:lineRule="auto" w:after="80"/>
      </w:pPr>
      <w:r>
        <w:rPr>
          <w:rFonts w:ascii="Times New Roman" w:hAnsi="Times New Roman"/>
          <w:color w:val="334155"/>
          <w:sz w:val="19"/>
        </w:rPr>
        <w:t>[12] Y. Shen et al., 'HuggingGPT: Solving AI Tasks with ChatGPT and its Friends in Hugging Face,' Advances in Neural Information Processing Systems (NeurIPS), 2023.</w:t>
      </w:r>
    </w:p>
    <w:p>
      <w:pPr>
        <w:spacing w:line="264" w:lineRule="auto" w:after="80"/>
      </w:pPr>
      <w:r>
        <w:rPr>
          <w:rFonts w:ascii="Times New Roman" w:hAnsi="Times New Roman"/>
          <w:color w:val="334155"/>
          <w:sz w:val="19"/>
        </w:rPr>
        <w:t>[13] Q. Wu et al., 'AutoGen: Enabling Next-Gen LLM Applications via Multi-Agent Conversation,' arXiv preprint arXiv:2308.08155, 2023.</w:t>
      </w:r>
    </w:p>
    <w:p>
      <w:pPr>
        <w:spacing w:line="264" w:lineRule="auto" w:after="80"/>
      </w:pPr>
      <w:r>
        <w:rPr>
          <w:rFonts w:ascii="Times New Roman" w:hAnsi="Times New Roman"/>
          <w:color w:val="334155"/>
          <w:sz w:val="19"/>
        </w:rPr>
        <w:t>[14] G. Snelting and F. Tip, 'Understanding class hierarchies using concept analysis,' ACM Transactions on Programming Languages and Systems (TOPLAS), vol. 22, no. 3, pp. 540–582, 2000.</w:t>
      </w:r>
    </w:p>
    <w:p>
      <w:pPr>
        <w:spacing w:line="264" w:lineRule="auto" w:after="80"/>
      </w:pPr>
      <w:r>
        <w:rPr>
          <w:rFonts w:ascii="Times New Roman" w:hAnsi="Times New Roman"/>
          <w:color w:val="334155"/>
          <w:sz w:val="19"/>
        </w:rPr>
        <w:t>[15] L. Zheng et al., 'Judging LLM-as-a-Judge with MT-Bench and Chatbot Arena,' Advances in Neural Information Processing Systems (NeurIPS),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