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Inbound Marketing Flow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Inbound Marketing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Criar página responsiva com os elementos de email marketing aplicados nos módulos anteriors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1.Disponível em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https://github.com/cavalcantemmarcelo/curso-frontend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2.Clonar ou baixar o zip do projeto / repositório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3.Acessar o diretório em que estiver o projeto em sua máquina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3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7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A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D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valcantemmarcelo/curso-fronten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