
<file path=[Content_Types].xml><?xml version="1.0" encoding="utf-8"?>
<Types xmlns="http://schemas.openxmlformats.org/package/2006/content-types">
  <Default Extension="xml" ContentType="application/xml"/>
  <Default Extension="jpg" ContentType="image/jpeg"/>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C63F94" w14:textId="201A5063">
      <w:pPr>
        <w:pBdr/>
        <w:spacing/>
        <w:ind/>
        <w:jc w:val="both"/>
        <w:rPr>
          <w:u w:val="single"/>
        </w:rPr>
      </w:pPr>
      <w:r>
        <w:rPr>
          <w:u w:val="single"/>
        </w:rPr>
      </w:r>
      <w:r>
        <w:rPr>
          <w:u w:val="single"/>
        </w:rPr>
      </w:r>
    </w:p>
    <w:p w14:paraId="79E48044" w14:textId="36EE11A5">
      <w:pPr>
        <w:pBdr/>
        <w:spacing/>
        <w:ind/>
        <w:jc w:val="center"/>
        <w:rPr>
          <w:b/>
          <w:bCs/>
          <w:sz w:val="32"/>
          <w:szCs w:val="32"/>
        </w:rPr>
      </w:pPr>
      <w:r>
        <w:rPr>
          <w:b/>
          <w:bCs/>
          <w:sz w:val="32"/>
          <w:szCs w:val="32"/>
        </w:rPr>
        <w:t xml:space="preserve">Vanuatu Data Science Driving Innovation in Climate Change &amp; Natural Disasters – Phase II</w:t>
      </w:r>
      <w:r>
        <w:rPr>
          <w:b/>
          <w:bCs/>
          <w:sz w:val="32"/>
          <w:szCs w:val="32"/>
        </w:rPr>
      </w:r>
    </w:p>
    <w:p w14:paraId="1D245574" w14:textId="0CC54E12">
      <w:pPr>
        <w:pBdr/>
        <w:spacing/>
        <w:ind/>
        <w:jc w:val="center"/>
        <w:rPr>
          <w:b/>
          <w:bCs/>
          <w:i/>
          <w:iCs/>
        </w:rPr>
      </w:pPr>
      <w:r>
        <w:rPr>
          <w:b/>
          <w:bCs/>
          <w:i/>
          <w:iCs/>
        </w:rPr>
        <w:t xml:space="preserve">Concept Note</w:t>
      </w:r>
      <w:r>
        <w:rPr>
          <w:b/>
          <w:bCs/>
          <w:i/>
          <w:iCs/>
        </w:rPr>
      </w:r>
    </w:p>
    <w:p w14:paraId="6627BA56" w14:textId="77777777">
      <w:pPr>
        <w:pBdr/>
        <w:spacing/>
        <w:ind/>
        <w:jc w:val="both"/>
        <w:rPr/>
      </w:pPr>
      <w:r/>
      <w:r/>
    </w:p>
    <w:p w14:paraId="3101BC64" w14:textId="77777777">
      <w:pPr>
        <w:pBdr/>
        <w:spacing/>
        <w:ind/>
        <w:jc w:val="both"/>
        <w:rPr/>
      </w:pPr>
      <w:r/>
      <w:r/>
    </w:p>
    <w:p w14:paraId="4E19B27A" w14:textId="0944D73C">
      <w:pPr>
        <w:pBdr/>
        <w:spacing/>
        <w:ind/>
        <w:jc w:val="both"/>
        <w:rPr>
          <w:b/>
          <w:bCs/>
          <w:i/>
          <w:iCs/>
          <w:u w:val="single"/>
        </w:rPr>
      </w:pPr>
      <w:r>
        <w:rPr>
          <w:b/>
          <w:bCs/>
          <w:i/>
          <w:iCs/>
          <w:u w:val="single"/>
        </w:rPr>
        <w:t xml:space="preserve">1. Overview</w:t>
      </w:r>
      <w:r>
        <w:rPr>
          <w:b/>
          <w:bCs/>
          <w:i/>
          <w:iCs/>
          <w:u w:val="single"/>
        </w:rPr>
      </w:r>
    </w:p>
    <w:p w14:paraId="4AE0E33D" w14:textId="4266BDBB">
      <w:pPr>
        <w:pBdr/>
        <w:spacing/>
        <w:ind/>
        <w:jc w:val="both"/>
        <w:rPr/>
      </w:pPr>
      <w:r>
        <w:t xml:space="preserve">The Vanuatu Data Science Driving Innovation in Climate Change &amp; Natural Disasters project, led by the Vanuatu Bureau of Statistics (VBoS) in partnership with the Ministry of Climate Change and Adaptation (MoCCA), </w:t>
      </w:r>
      <w:r>
        <w:t xml:space="preserve">Pacific Community (</w:t>
      </w:r>
      <w:r>
        <w:t xml:space="preserve">SPC</w:t>
      </w:r>
      <w:r>
        <w:t xml:space="preserve">)</w:t>
      </w:r>
      <w:r>
        <w:t xml:space="preserve">, and a broad network of stakeholders, has created a strong foundation for data-driven climate change and disaster governance.</w:t>
      </w:r>
      <w:r>
        <w:t xml:space="preserve"> </w:t>
      </w:r>
      <w:r>
        <w:t xml:space="preserve">In Phase I (2024–2025), the project established governance structures, conducted nationwide needs assessments, developed Reproducible Analytical Pipelines (RAPs) to automate cyclone damage and recovery cost estimation, initiated advanced machine learning </w:t>
      </w:r>
      <w:r>
        <w:t xml:space="preserve">(ML) </w:t>
      </w:r>
      <w:r>
        <w:t xml:space="preserve">training to monitor climate change indicators using satellite imagery, and commissioned the development of a Management Information System (MIS) to integrate these outputs into an operational decision-support platform.</w:t>
      </w:r>
      <w:r/>
    </w:p>
    <w:p w14:paraId="307A6ABC" w14:textId="77777777">
      <w:pPr>
        <w:pBdr/>
        <w:spacing/>
        <w:ind/>
        <w:jc w:val="both"/>
        <w:rPr/>
      </w:pPr>
      <w:r/>
      <w:r/>
    </w:p>
    <w:p w14:paraId="635D8463" w14:textId="77777777">
      <w:pPr>
        <w:pBdr/>
        <w:spacing/>
        <w:ind/>
        <w:jc w:val="both"/>
        <w:rPr>
          <w:b/>
          <w:bCs/>
          <w:i/>
          <w:iCs/>
          <w:u w:val="single"/>
        </w:rPr>
      </w:pPr>
      <w:r>
        <w:rPr>
          <w:b/>
          <w:bCs/>
          <w:i/>
          <w:iCs/>
          <w:u w:val="single"/>
        </w:rPr>
        <w:t xml:space="preserve">2. Problem Statement</w:t>
      </w:r>
      <w:r>
        <w:rPr>
          <w:b/>
          <w:bCs/>
          <w:i/>
          <w:iCs/>
          <w:u w:val="single"/>
        </w:rPr>
      </w:r>
    </w:p>
    <w:p w14:paraId="15ACBEDB" w14:textId="77777777">
      <w:pPr>
        <w:pBdr/>
        <w:spacing/>
        <w:ind/>
        <w:jc w:val="both"/>
        <w:rPr/>
      </w:pPr>
      <w:r>
        <w:t xml:space="preserve">While Phase I delivered significant progress, important challenges remain. Many provincial stakeholders have yet to be trained to fully utilise the MIS and RAP for disaster preparedness, response, and recovery. The tools have not been stress-t</w:t>
      </w:r>
      <w:r>
        <w:t xml:space="preserve">ested in operational conditions, limiting confidence in their real-time application. The RAP methodology currently focuses only on cyclones and has not been developed for other high-risk hazards such as earthquakes, volcanic eruptions, and tsunamis. Satell</w:t>
      </w:r>
      <w:r>
        <w:t xml:space="preserve">ite-derived climate change indicators still require ground-truth validation to ensure accuracy. In addition, there is no formal mechanism for capturing end-user feedback and integrating it into regular updates for both the MIS and analytical methodologies.</w:t>
      </w:r>
      <w:r/>
    </w:p>
    <w:p w14:paraId="1F2298D3" w14:textId="77777777">
      <w:pPr>
        <w:pBdr/>
        <w:spacing/>
        <w:ind/>
        <w:jc w:val="both"/>
        <w:rPr/>
      </w:pPr>
      <w:r/>
      <w:r/>
    </w:p>
    <w:p w14:paraId="0D4D9226" w14:textId="77777777">
      <w:pPr>
        <w:pBdr/>
        <w:spacing/>
        <w:ind/>
        <w:jc w:val="both"/>
        <w:rPr>
          <w:b/>
          <w:bCs/>
          <w:i/>
          <w:iCs/>
          <w:u w:val="single"/>
        </w:rPr>
      </w:pPr>
      <w:r>
        <w:rPr>
          <w:b/>
          <w:bCs/>
          <w:i/>
          <w:iCs/>
          <w:u w:val="single"/>
        </w:rPr>
        <w:t xml:space="preserve">3. Proposed Solution</w:t>
      </w:r>
      <w:r>
        <w:rPr>
          <w:b/>
          <w:bCs/>
          <w:i/>
          <w:iCs/>
          <w:u w:val="single"/>
        </w:rPr>
      </w:r>
    </w:p>
    <w:p w14:paraId="73EC77D2" w14:textId="1F14D2A6">
      <w:pPr>
        <w:pBdr/>
        <w:spacing/>
        <w:ind/>
        <w:jc w:val="both"/>
        <w:rPr/>
      </w:pPr>
      <w:r>
        <w:t xml:space="preserve">Phase II will address these gaps through </w:t>
      </w:r>
      <w:r>
        <w:t xml:space="preserve">six</w:t>
      </w:r>
      <w:r>
        <w:t xml:space="preserve"> interconnected components. First, Provincial MIS Training &amp; Rollout will be implemented in all six provinces, providing hands-on training for government officials, community disaster committees, and civil society partners on data access, interpretation, </w:t>
      </w:r>
      <w:r>
        <w:t xml:space="preserve">use of </w:t>
      </w:r>
      <w:r>
        <w:t xml:space="preserve">predictive model</w:t>
      </w:r>
      <w:r>
        <w:t xml:space="preserve">s</w:t>
      </w:r>
      <w:r>
        <w:t xml:space="preserve">, and integration into operational plans. Second, Annual Provincial Disaster Si</w:t>
      </w:r>
      <w:r>
        <w:t xml:space="preserve">mulation Exercises will be conducted to simulate high-impact events, such as Category 4–5 cyclones, using MIS and RAP outputs to inform response and resource allocation. These drills will be evaluated to identify improvements in readiness and coordination.</w:t>
      </w:r>
      <w:r/>
    </w:p>
    <w:p w14:paraId="51BDA016" w14:textId="77777777">
      <w:pPr>
        <w:pBdr/>
        <w:spacing/>
        <w:ind/>
        <w:jc w:val="both"/>
        <w:rPr/>
      </w:pPr>
      <w:r/>
      <w:r/>
    </w:p>
    <w:p w14:paraId="071B0A8C" w14:textId="77777777">
      <w:pPr>
        <w:pBdr/>
        <w:spacing/>
        <w:ind/>
        <w:jc w:val="both"/>
        <w:rPr/>
      </w:pPr>
      <w:r>
        <w:t xml:space="preserve">Third, RAP Testing, Improvement &amp; Expansion will be carried out to validate and refine cyclone damage and recovery estimation methodologies through field-testing during simulation ex</w:t>
      </w:r>
      <w:r>
        <w:t xml:space="preserve">ercises, and to expand the RAP to cover other hazards, including earthquakes, to enable multi-risk analytical capability. Fourth, Machine Learning Enhancement &amp; Ground Verification will focus on improving the accuracy of climate change indicators, such as </w:t>
      </w:r>
      <w:r>
        <w:t xml:space="preserve">shoreline change, vegetation cover, and agricultural productivity, through refined machine learning models and field data collection to validate satellite-derived results. </w:t>
      </w:r>
      <w:r/>
    </w:p>
    <w:p w14:paraId="745FA096" w14:textId="77777777">
      <w:pPr>
        <w:pBdr/>
        <w:spacing/>
        <w:ind/>
        <w:jc w:val="both"/>
        <w:rPr/>
      </w:pPr>
      <w:r/>
      <w:r/>
    </w:p>
    <w:p w14:paraId="1338F1F7" w14:textId="1D33F85E">
      <w:pPr>
        <w:pBdr/>
        <w:spacing/>
        <w:ind/>
        <w:jc w:val="both"/>
        <w:rPr/>
      </w:pPr>
      <w:r>
        <w:t xml:space="preserve">Fifth, Improvements to MIS will ensure the platform continues to evolve as the central hub for climate and</w:t>
      </w:r>
      <w:r>
        <w:t xml:space="preserve"> disaster data. Activities will include software development for new features and integrations, enhanced dashboard design and visualisation tools, security and data backup upgrades, and user acceptance testing based on feedback. A specialist consultant wil</w:t>
      </w:r>
      <w:r>
        <w:t xml:space="preserve">l also be engaged to design and implement automated data linkages with the MIS of other departments through secure API and SQL connections to government servers, reducing manual reporting burdens and ensuring real-time data flows across government systems.</w:t>
      </w:r>
      <w:r/>
    </w:p>
    <w:p w14:paraId="73779848" w14:textId="77777777">
      <w:pPr>
        <w:pBdr/>
        <w:spacing/>
        <w:ind/>
        <w:jc w:val="both"/>
        <w:rPr/>
      </w:pPr>
      <w:r/>
      <w:r/>
    </w:p>
    <w:p w14:paraId="610F5F1F" w14:textId="61731AE7">
      <w:pPr>
        <w:pBdr/>
        <w:spacing/>
        <w:ind/>
        <w:jc w:val="both"/>
        <w:rPr/>
      </w:pPr>
      <w:r>
        <w:t xml:space="preserve">Finally, a Continuous Improvement Cycle will be embedded through an annual MIS, ML, and RAP Review Workshop, ensuring that performance results, user feedback, and evolving hazard profiles are system</w:t>
      </w:r>
      <w:r>
        <w:t xml:space="preserve">atically used to guide system and methodological upgrades. This will include a dedicated week-long workshop each year to update and validate indicators inside the MIS, ensuring their ongoing policy relevance and alignment with evolving national priorities.</w:t>
      </w:r>
      <w:r/>
    </w:p>
    <w:p w14:paraId="17DBEA5C" w14:textId="77777777">
      <w:pPr>
        <w:pBdr/>
        <w:spacing/>
        <w:ind/>
        <w:jc w:val="both"/>
        <w:rPr/>
      </w:pPr>
      <w:r/>
      <w:r/>
    </w:p>
    <w:p w14:paraId="25C108B2" w14:textId="77777777">
      <w:pPr>
        <w:pBdr/>
        <w:spacing/>
        <w:ind/>
        <w:jc w:val="both"/>
        <w:rPr>
          <w:b/>
          <w:bCs/>
          <w:i/>
          <w:iCs/>
          <w:u w:val="single"/>
        </w:rPr>
      </w:pPr>
      <w:r>
        <w:rPr>
          <w:b/>
          <w:bCs/>
          <w:i/>
          <w:iCs/>
          <w:u w:val="single"/>
        </w:rPr>
        <w:t xml:space="preserve">4. Expected Impact</w:t>
      </w:r>
      <w:r>
        <w:rPr>
          <w:b/>
          <w:bCs/>
          <w:i/>
          <w:iCs/>
          <w:u w:val="single"/>
        </w:rPr>
      </w:r>
    </w:p>
    <w:p w14:paraId="797765BC" w14:textId="03E29AAC">
      <w:pPr>
        <w:pBdr/>
        <w:spacing/>
        <w:ind/>
        <w:jc w:val="both"/>
        <w:rPr/>
      </w:pPr>
      <w:r>
        <w:t xml:space="preserve">The short-term impact of Phase II will include provincial stakeholders being fully trained and confident in using MIS</w:t>
      </w:r>
      <w:r>
        <w:t xml:space="preserve">, ML</w:t>
      </w:r>
      <w:r>
        <w:t xml:space="preserve"> and RAP tools for decision-making, more</w:t>
      </w:r>
      <w:r>
        <w:t xml:space="preserve"> accurate and hazard-inclusive damage estimates, and stronger inter-agency coordination through annual drills. In the long term, Vanuatu will have a multi-hazard, evidence-based decision-support system embedded in both national and provincial disaster mana</w:t>
      </w:r>
      <w:r>
        <w:t xml:space="preserve">gement and climate adaptation processes. This will lead to faster, more efficient disaster responses that save lives, protect livelihoods, and minimise economic losses, while fostering a culture of continuous improvement in climate and disaster governance.</w:t>
      </w:r>
      <w:r/>
    </w:p>
    <w:p w14:paraId="7486CBAA" w14:textId="77777777">
      <w:pPr>
        <w:pBdr/>
        <w:spacing/>
        <w:ind/>
        <w:jc w:val="both"/>
        <w:rPr/>
      </w:pPr>
      <w:r/>
      <w:r/>
    </w:p>
    <w:p w14:paraId="72402806" w14:textId="2BB4B38E">
      <w:pPr>
        <w:pBdr/>
        <w:spacing/>
        <w:ind/>
        <w:jc w:val="both"/>
        <w:rPr>
          <w:b/>
          <w:bCs/>
          <w:i/>
          <w:iCs/>
          <w:u w:val="single"/>
        </w:rPr>
      </w:pPr>
      <w:r>
        <w:rPr>
          <w:b/>
          <w:bCs/>
          <w:i/>
          <w:iCs/>
          <w:u w:val="single"/>
        </w:rPr>
        <w:t xml:space="preserve">5. </w:t>
      </w:r>
      <w:r>
        <w:rPr>
          <w:b/>
          <w:bCs/>
          <w:i/>
          <w:iCs/>
          <w:u w:val="single"/>
        </w:rPr>
        <w:t xml:space="preserve">Estimated</w:t>
      </w:r>
      <w:r>
        <w:rPr>
          <w:b/>
          <w:bCs/>
          <w:i/>
          <w:iCs/>
          <w:u w:val="single"/>
        </w:rPr>
        <w:t xml:space="preserve"> Budget (USD)</w:t>
      </w:r>
      <w:r>
        <w:rPr>
          <w:b/>
          <w:bCs/>
          <w:i/>
          <w:iCs/>
          <w:u w:val="single"/>
        </w:rPr>
      </w:r>
    </w:p>
    <w:p w14:paraId="48E76F05" w14:textId="28F925A4">
      <w:pPr>
        <w:pBdr/>
        <w:spacing/>
        <w:ind/>
        <w:jc w:val="both"/>
        <w:rPr/>
      </w:pPr>
      <w:r>
        <w:t xml:space="preserve">The total estimated cost for Phase II is USD </w:t>
      </w:r>
      <w:r>
        <w:t xml:space="preserve">440</w:t>
      </w:r>
      <w:r>
        <w:t xml:space="preserve">,000 over a two-year programme. This includes USD 50,000 for provincial MIS</w:t>
      </w:r>
      <w:r>
        <w:t xml:space="preserve">, ML</w:t>
      </w:r>
      <w:r>
        <w:t xml:space="preserve"> and RAP use training</w:t>
      </w:r>
      <w:r>
        <w:t xml:space="preserve">;</w:t>
      </w:r>
      <w:r>
        <w:t xml:space="preserve"> USD 60,000 for annual disaster simulation exercises</w:t>
      </w:r>
      <w:r>
        <w:t xml:space="preserve">;</w:t>
      </w:r>
      <w:r>
        <w:t xml:space="preserve"> USD </w:t>
      </w:r>
      <w:r>
        <w:t xml:space="preserve">5</w:t>
      </w:r>
      <w:r>
        <w:t xml:space="preserve">5,000 for expanding the RAP to cover additional hazards</w:t>
      </w:r>
      <w:r>
        <w:t xml:space="preserve">;</w:t>
      </w:r>
      <w:r>
        <w:t xml:space="preserve"> USD 80,000 for </w:t>
      </w:r>
      <w:r>
        <w:t xml:space="preserve">ML</w:t>
      </w:r>
      <w:r>
        <w:t xml:space="preserve"> enhancement and ground-truthing activities, USD 100,000 for improvements to the MIS</w:t>
      </w:r>
      <w:r>
        <w:t xml:space="preserve">; USD 40,000 for API/SQL integration; USD 30,000 for indicator update workshops; </w:t>
      </w:r>
      <w:r>
        <w:t xml:space="preserve">and USD 25,000 for continuation of the governance structure.</w:t>
      </w:r>
      <w:r/>
    </w:p>
    <w:p w14:paraId="6EB84F3A" w14:textId="77777777">
      <w:pPr>
        <w:pBdr/>
        <w:spacing/>
        <w:ind/>
        <w:jc w:val="both"/>
        <w:rPr/>
      </w:pPr>
      <w:r/>
      <w:r/>
    </w:p>
    <w:tbl>
      <w:tblPr>
        <w:tblStyle w:val="830"/>
        <w:tblW w:w="0" w:type="auto"/>
        <w:tblBorders/>
        <w:tblLook w:val="04A0" w:firstRow="1" w:lastRow="0" w:firstColumn="1" w:lastColumn="0" w:noHBand="0" w:noVBand="1"/>
      </w:tblPr>
      <w:tblGrid>
        <w:gridCol w:w="2263"/>
        <w:gridCol w:w="4678"/>
        <w:gridCol w:w="2075"/>
      </w:tblGrid>
      <w:tr>
        <w:trPr/>
        <w:tc>
          <w:tcPr>
            <w:shd w:val="clear" w:color="auto" w:fill="b4c6e7" w:themeFill="accent1" w:themeFillTint="66"/>
            <w:tcBorders>
              <w:left w:val="none" w:color="000000" w:sz="4" w:space="0"/>
              <w:bottom w:val="single" w:color="auto" w:sz="4" w:space="0"/>
              <w:right w:val="none" w:color="000000" w:sz="4" w:space="0"/>
            </w:tcBorders>
            <w:tcW w:w="2263" w:type="dxa"/>
          </w:tcPr>
          <w:p w14:paraId="2D8D62B1" w14:textId="68785E5B">
            <w:pPr>
              <w:pBdr/>
              <w:spacing/>
              <w:ind/>
              <w:jc w:val="both"/>
              <w:rPr>
                <w:b/>
                <w:bCs/>
              </w:rPr>
            </w:pPr>
            <w:r>
              <w:rPr>
                <w:b/>
                <w:bCs/>
              </w:rPr>
              <w:t xml:space="preserve">Component </w:t>
            </w:r>
            <w:r>
              <w:rPr>
                <w:b/>
                <w:bCs/>
              </w:rPr>
            </w:r>
          </w:p>
        </w:tc>
        <w:tc>
          <w:tcPr>
            <w:shd w:val="clear" w:color="auto" w:fill="b4c6e7" w:themeFill="accent1" w:themeFillTint="66"/>
            <w:tcBorders>
              <w:left w:val="none" w:color="000000" w:sz="4" w:space="0"/>
              <w:bottom w:val="single" w:color="auto" w:sz="4" w:space="0"/>
              <w:right w:val="none" w:color="000000" w:sz="4" w:space="0"/>
            </w:tcBorders>
            <w:tcW w:w="4678" w:type="dxa"/>
          </w:tcPr>
          <w:p w14:paraId="240FDD4B" w14:textId="1E40CAF5">
            <w:pPr>
              <w:pBdr/>
              <w:spacing/>
              <w:ind/>
              <w:jc w:val="both"/>
              <w:rPr>
                <w:b/>
                <w:bCs/>
              </w:rPr>
            </w:pPr>
            <w:r>
              <w:rPr>
                <w:b/>
                <w:bCs/>
              </w:rPr>
              <w:t xml:space="preserve">Activities </w:t>
            </w:r>
            <w:r>
              <w:rPr>
                <w:b/>
                <w:bCs/>
              </w:rPr>
            </w:r>
          </w:p>
        </w:tc>
        <w:tc>
          <w:tcPr>
            <w:shd w:val="clear" w:color="auto" w:fill="b4c6e7" w:themeFill="accent1" w:themeFillTint="66"/>
            <w:tcBorders>
              <w:left w:val="none" w:color="000000" w:sz="4" w:space="0"/>
              <w:right w:val="none" w:color="000000" w:sz="4" w:space="0"/>
            </w:tcBorders>
            <w:tcW w:w="2075" w:type="dxa"/>
          </w:tcPr>
          <w:p w14:paraId="0FA95A8B" w14:textId="255CF9D0">
            <w:pPr>
              <w:pBdr/>
              <w:spacing/>
              <w:ind/>
              <w:jc w:val="both"/>
              <w:rPr>
                <w:b/>
                <w:bCs/>
              </w:rPr>
            </w:pPr>
            <w:r>
              <w:rPr>
                <w:b/>
                <w:bCs/>
              </w:rPr>
              <w:t xml:space="preserve">Budget</w:t>
            </w:r>
            <w:r>
              <w:rPr>
                <w:b/>
                <w:bCs/>
              </w:rPr>
            </w:r>
          </w:p>
        </w:tc>
      </w:tr>
      <w:tr>
        <w:trPr/>
        <w:tc>
          <w:tcPr>
            <w:tcBorders>
              <w:left w:val="none" w:color="000000" w:sz="4" w:space="0"/>
              <w:right w:val="none" w:color="000000" w:sz="4" w:space="0"/>
            </w:tcBorders>
            <w:tcW w:w="2263" w:type="dxa"/>
          </w:tcPr>
          <w:p w14:paraId="6BD0A03C" w14:textId="1A507625">
            <w:pPr>
              <w:pBdr/>
              <w:spacing/>
              <w:ind/>
              <w:rPr/>
            </w:pPr>
            <w:r>
              <w:t xml:space="preserve">Provincial MIS and RAP Use Training </w:t>
            </w:r>
            <w:r/>
          </w:p>
        </w:tc>
        <w:tc>
          <w:tcPr>
            <w:tcBorders>
              <w:left w:val="none" w:color="000000" w:sz="4" w:space="0"/>
              <w:right w:val="none" w:color="000000" w:sz="4" w:space="0"/>
            </w:tcBorders>
            <w:tcW w:w="4678" w:type="dxa"/>
          </w:tcPr>
          <w:p w14:paraId="3384C7A2" w14:textId="77777777">
            <w:pPr>
              <w:pStyle w:val="829"/>
              <w:numPr>
                <w:ilvl w:val="0"/>
                <w:numId w:val="5"/>
              </w:numPr>
              <w:pBdr/>
              <w:spacing/>
              <w:ind/>
              <w:rPr/>
            </w:pPr>
            <w:r>
              <w:t xml:space="preserve">Airfares and transport </w:t>
            </w:r>
            <w:r/>
          </w:p>
          <w:p w14:paraId="25F15B8F" w14:textId="7A3829BB">
            <w:pPr>
              <w:pStyle w:val="829"/>
              <w:numPr>
                <w:ilvl w:val="0"/>
                <w:numId w:val="5"/>
              </w:numPr>
              <w:pBdr/>
              <w:spacing/>
              <w:ind/>
              <w:rPr/>
            </w:pPr>
            <w:r>
              <w:t xml:space="preserve">Venue </w:t>
            </w:r>
            <w:r>
              <w:t xml:space="preserve">hires</w:t>
            </w:r>
            <w:r>
              <w:t xml:space="preserve"> and workshop catering </w:t>
            </w:r>
            <w:r/>
          </w:p>
          <w:p w14:paraId="5147FD0A" w14:textId="77777777">
            <w:pPr>
              <w:pStyle w:val="829"/>
              <w:numPr>
                <w:ilvl w:val="0"/>
                <w:numId w:val="5"/>
              </w:numPr>
              <w:pBdr/>
              <w:spacing/>
              <w:ind/>
              <w:rPr/>
            </w:pPr>
            <w:r>
              <w:t xml:space="preserve">Printing of </w:t>
            </w:r>
            <w:r>
              <w:t xml:space="preserve">materials</w:t>
            </w:r>
            <w:r/>
          </w:p>
          <w:p w14:paraId="00A9CA0A" w14:textId="77777777">
            <w:pPr>
              <w:pStyle w:val="829"/>
              <w:numPr>
                <w:ilvl w:val="0"/>
                <w:numId w:val="5"/>
              </w:numPr>
              <w:pBdr/>
              <w:spacing/>
              <w:ind/>
              <w:rPr/>
            </w:pPr>
            <w:r>
              <w:t xml:space="preserve">Per diems </w:t>
            </w:r>
            <w:r/>
          </w:p>
          <w:p w14:paraId="3DA01D1A" w14:textId="0CB8A479">
            <w:pPr>
              <w:pStyle w:val="829"/>
              <w:numPr>
                <w:ilvl w:val="0"/>
                <w:numId w:val="5"/>
              </w:numPr>
              <w:pBdr/>
              <w:spacing/>
              <w:ind/>
              <w:rPr/>
            </w:pPr>
            <w:r>
              <w:t xml:space="preserve">ICT equipment hire </w:t>
            </w:r>
            <w:r/>
          </w:p>
        </w:tc>
        <w:tc>
          <w:tcPr>
            <w:tcBorders>
              <w:left w:val="none" w:color="000000" w:sz="4" w:space="0"/>
              <w:right w:val="none" w:color="000000" w:sz="4" w:space="0"/>
            </w:tcBorders>
            <w:tcW w:w="2075" w:type="dxa"/>
          </w:tcPr>
          <w:p w14:paraId="4289394D" w14:textId="34ED324F">
            <w:pPr>
              <w:pBdr/>
              <w:spacing/>
              <w:ind/>
              <w:rPr/>
            </w:pPr>
            <w:r>
              <w:t xml:space="preserve">50,000</w:t>
            </w:r>
            <w:r/>
          </w:p>
        </w:tc>
      </w:tr>
      <w:tr>
        <w:trPr/>
        <w:tc>
          <w:tcPr>
            <w:tcBorders>
              <w:left w:val="none" w:color="000000" w:sz="4" w:space="0"/>
              <w:right w:val="none" w:color="000000" w:sz="4" w:space="0"/>
            </w:tcBorders>
            <w:tcW w:w="2263" w:type="dxa"/>
          </w:tcPr>
          <w:p w14:paraId="2270790F" w14:textId="195D898A">
            <w:pPr>
              <w:pBdr/>
              <w:spacing/>
              <w:ind/>
              <w:rPr/>
            </w:pPr>
            <w:r>
              <w:t xml:space="preserve">Annual Disaster Simulation Exercises</w:t>
            </w:r>
            <w:r/>
          </w:p>
        </w:tc>
        <w:tc>
          <w:tcPr>
            <w:tcBorders>
              <w:left w:val="none" w:color="000000" w:sz="4" w:space="0"/>
              <w:right w:val="none" w:color="000000" w:sz="4" w:space="0"/>
            </w:tcBorders>
            <w:tcW w:w="4678" w:type="dxa"/>
          </w:tcPr>
          <w:p w14:paraId="4B2A8CA2" w14:textId="77777777">
            <w:pPr>
              <w:pStyle w:val="829"/>
              <w:numPr>
                <w:ilvl w:val="0"/>
                <w:numId w:val="6"/>
              </w:numPr>
              <w:pBdr/>
              <w:spacing/>
              <w:ind/>
              <w:rPr/>
            </w:pPr>
            <w:r>
              <w:t xml:space="preserve">Airfares and transport </w:t>
            </w:r>
            <w:r/>
          </w:p>
          <w:p w14:paraId="4AE6D193" w14:textId="4094F27E">
            <w:pPr>
              <w:pStyle w:val="829"/>
              <w:numPr>
                <w:ilvl w:val="0"/>
                <w:numId w:val="6"/>
              </w:numPr>
              <w:pBdr/>
              <w:spacing/>
              <w:ind/>
              <w:rPr/>
            </w:pPr>
            <w:r>
              <w:t xml:space="preserve">Venue hires and workshop catering </w:t>
            </w:r>
            <w:r/>
          </w:p>
          <w:p w14:paraId="2C4B0538" w14:textId="079A70D2">
            <w:pPr>
              <w:pStyle w:val="829"/>
              <w:numPr>
                <w:ilvl w:val="0"/>
                <w:numId w:val="6"/>
              </w:numPr>
              <w:pBdr/>
              <w:spacing/>
              <w:ind/>
              <w:rPr/>
            </w:pPr>
            <w:r>
              <w:t xml:space="preserve">Logistics for scenario setup </w:t>
            </w:r>
            <w:r/>
          </w:p>
          <w:p w14:paraId="418868AF" w14:textId="77777777">
            <w:pPr>
              <w:pStyle w:val="829"/>
              <w:numPr>
                <w:ilvl w:val="0"/>
                <w:numId w:val="6"/>
              </w:numPr>
              <w:pBdr/>
              <w:spacing/>
              <w:ind/>
              <w:rPr/>
            </w:pPr>
            <w:r>
              <w:t xml:space="preserve">Coordination meetings </w:t>
            </w:r>
            <w:r/>
          </w:p>
          <w:p w14:paraId="7908B1D9" w14:textId="2BCCF3E5">
            <w:pPr>
              <w:pStyle w:val="829"/>
              <w:numPr>
                <w:ilvl w:val="0"/>
                <w:numId w:val="6"/>
              </w:numPr>
              <w:pBdr/>
              <w:spacing/>
              <w:ind/>
              <w:rPr/>
            </w:pPr>
            <w:r>
              <w:t xml:space="preserve">Per diems </w:t>
            </w:r>
            <w:r/>
          </w:p>
          <w:p w14:paraId="70B571BA" w14:textId="7BD8EF18">
            <w:pPr>
              <w:pStyle w:val="829"/>
              <w:numPr>
                <w:ilvl w:val="0"/>
                <w:numId w:val="6"/>
              </w:numPr>
              <w:pBdr/>
              <w:spacing/>
              <w:ind/>
              <w:rPr/>
            </w:pPr>
            <w:r>
              <w:t xml:space="preserve">ICT equipment hire</w:t>
            </w:r>
            <w:r/>
          </w:p>
          <w:p w14:paraId="4FE10479" w14:textId="5D9BBE1A">
            <w:pPr>
              <w:pStyle w:val="829"/>
              <w:numPr>
                <w:ilvl w:val="0"/>
                <w:numId w:val="6"/>
              </w:numPr>
              <w:pBdr/>
              <w:spacing/>
              <w:ind/>
              <w:rPr/>
            </w:pPr>
            <w:r>
              <w:t xml:space="preserve">Communication materials </w:t>
            </w:r>
            <w:r/>
          </w:p>
        </w:tc>
        <w:tc>
          <w:tcPr>
            <w:tcBorders>
              <w:left w:val="none" w:color="000000" w:sz="4" w:space="0"/>
              <w:right w:val="none" w:color="000000" w:sz="4" w:space="0"/>
            </w:tcBorders>
            <w:tcW w:w="2075" w:type="dxa"/>
          </w:tcPr>
          <w:p w14:paraId="06756F80" w14:textId="006C8F39">
            <w:pPr>
              <w:pBdr/>
              <w:spacing/>
              <w:ind/>
              <w:rPr/>
            </w:pPr>
            <w:r>
              <w:t xml:space="preserve">60,000</w:t>
            </w:r>
            <w:r/>
          </w:p>
        </w:tc>
      </w:tr>
      <w:tr>
        <w:trPr/>
        <w:tc>
          <w:tcPr>
            <w:tcBorders>
              <w:left w:val="none" w:color="000000" w:sz="4" w:space="0"/>
              <w:right w:val="none" w:color="000000" w:sz="4" w:space="0"/>
            </w:tcBorders>
            <w:tcW w:w="2263" w:type="dxa"/>
          </w:tcPr>
          <w:p w14:paraId="47AD487C" w14:textId="6567A888">
            <w:pPr>
              <w:pBdr/>
              <w:spacing/>
              <w:ind/>
              <w:rPr/>
            </w:pPr>
            <w:r>
              <w:t xml:space="preserve">Expansion of RAP for Other Hazards</w:t>
            </w:r>
            <w:r/>
          </w:p>
        </w:tc>
        <w:tc>
          <w:tcPr>
            <w:tcBorders>
              <w:left w:val="none" w:color="000000" w:sz="4" w:space="0"/>
              <w:right w:val="none" w:color="000000" w:sz="4" w:space="0"/>
            </w:tcBorders>
            <w:tcW w:w="4678" w:type="dxa"/>
          </w:tcPr>
          <w:p w14:paraId="41DA3509" w14:textId="77777777">
            <w:pPr>
              <w:pStyle w:val="829"/>
              <w:numPr>
                <w:ilvl w:val="0"/>
                <w:numId w:val="7"/>
              </w:numPr>
              <w:pBdr/>
              <w:spacing/>
              <w:ind/>
              <w:rPr/>
            </w:pPr>
            <w:r>
              <w:t xml:space="preserve">Technical consultancy to adapt RAP methodology for earthquakes, tsunamis, and volcanic eruptions</w:t>
            </w:r>
            <w:r/>
          </w:p>
          <w:p w14:paraId="44862DFA" w14:textId="77777777">
            <w:pPr>
              <w:pStyle w:val="829"/>
              <w:numPr>
                <w:ilvl w:val="0"/>
                <w:numId w:val="7"/>
              </w:numPr>
              <w:pBdr/>
              <w:spacing/>
              <w:ind/>
              <w:rPr/>
            </w:pPr>
            <w:r>
              <w:t xml:space="preserve">Stakeholder validation workshops</w:t>
            </w:r>
            <w:r/>
          </w:p>
          <w:p w14:paraId="5DC289C6" w14:textId="6543FA07">
            <w:pPr>
              <w:pStyle w:val="829"/>
              <w:numPr>
                <w:ilvl w:val="0"/>
                <w:numId w:val="7"/>
              </w:numPr>
              <w:pBdr/>
              <w:spacing/>
              <w:ind/>
              <w:rPr/>
            </w:pPr>
            <w:r>
              <w:t xml:space="preserve">Training sessions for staff</w:t>
            </w:r>
            <w:r/>
          </w:p>
        </w:tc>
        <w:tc>
          <w:tcPr>
            <w:tcBorders>
              <w:left w:val="none" w:color="000000" w:sz="4" w:space="0"/>
              <w:right w:val="none" w:color="000000" w:sz="4" w:space="0"/>
            </w:tcBorders>
            <w:tcW w:w="2075" w:type="dxa"/>
          </w:tcPr>
          <w:p w14:paraId="0B2C4AC6" w14:textId="623D8ADC">
            <w:pPr>
              <w:pBdr/>
              <w:spacing/>
              <w:ind/>
              <w:rPr/>
            </w:pPr>
            <w:r>
              <w:t xml:space="preserve">55</w:t>
            </w:r>
            <w:r>
              <w:t xml:space="preserve">,000</w:t>
            </w:r>
            <w:r/>
          </w:p>
        </w:tc>
      </w:tr>
      <w:tr>
        <w:trPr/>
        <w:tc>
          <w:tcPr>
            <w:tcBorders>
              <w:left w:val="none" w:color="000000" w:sz="4" w:space="0"/>
              <w:right w:val="none" w:color="000000" w:sz="4" w:space="0"/>
            </w:tcBorders>
            <w:tcW w:w="2263" w:type="dxa"/>
          </w:tcPr>
          <w:p w14:paraId="70C9B28C" w14:textId="02B8EBED">
            <w:pPr>
              <w:pBdr/>
              <w:spacing/>
              <w:ind/>
              <w:rPr/>
            </w:pPr>
            <w:r>
              <w:t xml:space="preserve">Machine Learning Enhancement</w:t>
            </w:r>
            <w:r/>
          </w:p>
        </w:tc>
        <w:tc>
          <w:tcPr>
            <w:tcBorders>
              <w:left w:val="none" w:color="000000" w:sz="4" w:space="0"/>
              <w:right w:val="none" w:color="000000" w:sz="4" w:space="0"/>
            </w:tcBorders>
            <w:tcW w:w="4678" w:type="dxa"/>
          </w:tcPr>
          <w:p w14:paraId="2735DE82" w14:textId="14E32C82">
            <w:pPr>
              <w:pStyle w:val="829"/>
              <w:numPr>
                <w:ilvl w:val="0"/>
                <w:numId w:val="8"/>
              </w:numPr>
              <w:pBdr/>
              <w:spacing/>
              <w:ind/>
              <w:rPr/>
            </w:pPr>
            <w:r>
              <w:t xml:space="preserve">Specialist consultancy for refining algorithms and indicator accuracy</w:t>
            </w:r>
            <w:r/>
          </w:p>
          <w:p w14:paraId="568E9CC9" w14:textId="77777777">
            <w:pPr>
              <w:pStyle w:val="829"/>
              <w:numPr>
                <w:ilvl w:val="0"/>
                <w:numId w:val="8"/>
              </w:numPr>
              <w:pBdr/>
              <w:spacing/>
              <w:ind/>
              <w:rPr/>
            </w:pPr>
            <w:r>
              <w:t xml:space="preserve">Field missions for ground-truthing data </w:t>
            </w:r>
            <w:r/>
          </w:p>
          <w:p w14:paraId="04D39974" w14:textId="3821B0C6">
            <w:pPr>
              <w:pStyle w:val="829"/>
              <w:numPr>
                <w:ilvl w:val="0"/>
                <w:numId w:val="8"/>
              </w:numPr>
              <w:pBdr/>
              <w:spacing/>
              <w:ind/>
              <w:rPr/>
            </w:pPr>
            <w:r>
              <w:t xml:space="preserve">Training sessions for staff in updated ML methods</w:t>
            </w:r>
            <w:r/>
          </w:p>
        </w:tc>
        <w:tc>
          <w:tcPr>
            <w:tcBorders>
              <w:left w:val="none" w:color="000000" w:sz="4" w:space="0"/>
              <w:right w:val="none" w:color="000000" w:sz="4" w:space="0"/>
            </w:tcBorders>
            <w:tcW w:w="2075" w:type="dxa"/>
          </w:tcPr>
          <w:p w14:paraId="44B29C88" w14:textId="431B9AE9">
            <w:pPr>
              <w:pBdr/>
              <w:spacing/>
              <w:ind/>
              <w:rPr/>
            </w:pPr>
            <w:r>
              <w:t xml:space="preserve">80,000</w:t>
            </w:r>
            <w:r/>
          </w:p>
        </w:tc>
      </w:tr>
      <w:tr>
        <w:trPr/>
        <w:tc>
          <w:tcPr>
            <w:tcBorders>
              <w:left w:val="none" w:color="000000" w:sz="4" w:space="0"/>
              <w:right w:val="none" w:color="000000" w:sz="4" w:space="0"/>
            </w:tcBorders>
            <w:tcW w:w="2263" w:type="dxa"/>
          </w:tcPr>
          <w:p w14:paraId="7B88FA50" w14:textId="621573A2">
            <w:pPr>
              <w:pBdr/>
              <w:spacing/>
              <w:ind/>
              <w:rPr/>
            </w:pPr>
            <w:r>
              <w:t xml:space="preserve">Improvements to MIS</w:t>
            </w:r>
            <w:r/>
          </w:p>
        </w:tc>
        <w:tc>
          <w:tcPr>
            <w:tcBorders>
              <w:left w:val="none" w:color="000000" w:sz="4" w:space="0"/>
              <w:right w:val="none" w:color="000000" w:sz="4" w:space="0"/>
            </w:tcBorders>
            <w:tcW w:w="4678" w:type="dxa"/>
          </w:tcPr>
          <w:p w14:paraId="13B05558" w14:textId="77777777">
            <w:pPr>
              <w:pStyle w:val="829"/>
              <w:numPr>
                <w:ilvl w:val="0"/>
                <w:numId w:val="9"/>
              </w:numPr>
              <w:pBdr/>
              <w:spacing/>
              <w:ind/>
              <w:rPr/>
            </w:pPr>
            <w:r>
              <w:t xml:space="preserve">Software development for new features and integrations</w:t>
            </w:r>
            <w:r/>
          </w:p>
          <w:p w14:paraId="0EBEC37F" w14:textId="77777777">
            <w:pPr>
              <w:pStyle w:val="829"/>
              <w:numPr>
                <w:ilvl w:val="0"/>
                <w:numId w:val="9"/>
              </w:numPr>
              <w:pBdr/>
              <w:spacing/>
              <w:ind/>
              <w:rPr/>
            </w:pPr>
            <w:r>
              <w:t xml:space="preserve">Enhanced dashboard design and visualisation tools</w:t>
            </w:r>
            <w:r/>
          </w:p>
          <w:p w14:paraId="57C5BED0" w14:textId="77777777">
            <w:pPr>
              <w:pStyle w:val="829"/>
              <w:numPr>
                <w:ilvl w:val="0"/>
                <w:numId w:val="9"/>
              </w:numPr>
              <w:pBdr/>
              <w:spacing/>
              <w:ind/>
              <w:rPr/>
            </w:pPr>
            <w:r>
              <w:t xml:space="preserve">Security and data backup upgrades</w:t>
            </w:r>
            <w:r/>
          </w:p>
          <w:p w14:paraId="50F7DACE" w14:textId="6EFAFB9B">
            <w:pPr>
              <w:pStyle w:val="829"/>
              <w:numPr>
                <w:ilvl w:val="0"/>
                <w:numId w:val="9"/>
              </w:numPr>
              <w:pBdr/>
              <w:spacing/>
              <w:ind/>
              <w:rPr/>
            </w:pPr>
            <w:r>
              <w:t xml:space="preserve">User acceptance testing and refinement based on feedback</w:t>
            </w:r>
            <w:r/>
          </w:p>
        </w:tc>
        <w:tc>
          <w:tcPr>
            <w:tcBorders>
              <w:left w:val="none" w:color="000000" w:sz="4" w:space="0"/>
              <w:right w:val="none" w:color="000000" w:sz="4" w:space="0"/>
            </w:tcBorders>
            <w:tcW w:w="2075" w:type="dxa"/>
          </w:tcPr>
          <w:p w14:paraId="4F91E188" w14:textId="7FBF3A54">
            <w:pPr>
              <w:pBdr/>
              <w:spacing/>
              <w:ind/>
              <w:rPr/>
            </w:pPr>
            <w:r>
              <w:t xml:space="preserve">100,000</w:t>
            </w:r>
            <w:r/>
          </w:p>
        </w:tc>
      </w:tr>
      <w:tr>
        <w:trPr/>
        <w:tc>
          <w:tcPr>
            <w:tcBorders>
              <w:left w:val="none" w:color="000000" w:sz="4" w:space="0"/>
              <w:right w:val="none" w:color="000000" w:sz="4" w:space="0"/>
            </w:tcBorders>
            <w:tcW w:w="2263" w:type="dxa"/>
          </w:tcPr>
          <w:p w14:paraId="33622632" w14:textId="43671CC4">
            <w:pPr>
              <w:pBdr/>
              <w:spacing/>
              <w:ind/>
              <w:rPr/>
            </w:pPr>
            <w:r>
              <w:t xml:space="preserve">Specialist MIS Integration Consultancy</w:t>
            </w:r>
            <w:r/>
          </w:p>
        </w:tc>
        <w:tc>
          <w:tcPr>
            <w:tcBorders>
              <w:left w:val="none" w:color="000000" w:sz="4" w:space="0"/>
              <w:right w:val="none" w:color="000000" w:sz="4" w:space="0"/>
            </w:tcBorders>
            <w:tcW w:w="4678" w:type="dxa"/>
          </w:tcPr>
          <w:p w14:paraId="242331D4" w14:textId="77777777">
            <w:pPr>
              <w:pStyle w:val="829"/>
              <w:numPr>
                <w:ilvl w:val="0"/>
                <w:numId w:val="11"/>
              </w:numPr>
              <w:pBdr/>
              <w:spacing/>
              <w:ind/>
              <w:rPr/>
            </w:pPr>
            <w:r>
              <w:t xml:space="preserve">Design and implement API/SQL integration with departmental MIS</w:t>
            </w:r>
            <w:r/>
          </w:p>
          <w:p w14:paraId="540FC3E7" w14:textId="77777777">
            <w:pPr>
              <w:pStyle w:val="829"/>
              <w:numPr>
                <w:ilvl w:val="0"/>
                <w:numId w:val="11"/>
              </w:numPr>
              <w:pBdr/>
              <w:spacing/>
              <w:ind/>
              <w:rPr/>
            </w:pPr>
            <w:r>
              <w:t xml:space="preserve">Ensure secure server-to-server connections</w:t>
            </w:r>
            <w:r>
              <w:rPr>
                <w:lang w:val="en-US"/>
              </w:rPr>
              <w:t xml:space="preserve">.</w:t>
            </w:r>
            <w:r/>
          </w:p>
          <w:p w14:paraId="57602C98" w14:textId="2871AE41">
            <w:pPr>
              <w:pStyle w:val="829"/>
              <w:numPr>
                <w:ilvl w:val="0"/>
                <w:numId w:val="11"/>
              </w:numPr>
              <w:pBdr/>
              <w:spacing/>
              <w:ind/>
              <w:rPr/>
            </w:pPr>
            <w:r>
              <w:t xml:space="preserve">Reduce manual reporting burdens and enable real-time data flows</w:t>
            </w:r>
            <w:r/>
          </w:p>
        </w:tc>
        <w:tc>
          <w:tcPr>
            <w:tcBorders>
              <w:left w:val="none" w:color="000000" w:sz="4" w:space="0"/>
              <w:right w:val="none" w:color="000000" w:sz="4" w:space="0"/>
            </w:tcBorders>
            <w:tcW w:w="2075" w:type="dxa"/>
          </w:tcPr>
          <w:p w14:paraId="1F9BBAA8" w14:textId="4266C59F">
            <w:pPr>
              <w:pBdr/>
              <w:spacing/>
              <w:ind/>
              <w:rPr/>
            </w:pPr>
            <w:r>
              <w:t xml:space="preserve">40,000</w:t>
            </w:r>
            <w:r/>
          </w:p>
        </w:tc>
      </w:tr>
      <w:tr>
        <w:trPr/>
        <w:tc>
          <w:tcPr>
            <w:tcBorders>
              <w:left w:val="none" w:color="000000" w:sz="4" w:space="0"/>
              <w:right w:val="none" w:color="000000" w:sz="4" w:space="0"/>
            </w:tcBorders>
            <w:tcW w:w="2263" w:type="dxa"/>
          </w:tcPr>
          <w:p w14:paraId="2CBE9BF0" w14:textId="168253C6">
            <w:pPr>
              <w:pBdr/>
              <w:spacing/>
              <w:ind/>
              <w:rPr/>
            </w:pPr>
            <w:r>
              <w:t xml:space="preserve">Annual Indicator Update Workshop</w:t>
            </w:r>
            <w:r/>
          </w:p>
        </w:tc>
        <w:tc>
          <w:tcPr>
            <w:tcBorders>
              <w:left w:val="none" w:color="000000" w:sz="4" w:space="0"/>
              <w:right w:val="none" w:color="000000" w:sz="4" w:space="0"/>
            </w:tcBorders>
            <w:tcW w:w="4678" w:type="dxa"/>
          </w:tcPr>
          <w:p w14:paraId="0197C585" w14:textId="77777777">
            <w:pPr>
              <w:pStyle w:val="829"/>
              <w:numPr>
                <w:ilvl w:val="0"/>
                <w:numId w:val="12"/>
              </w:numPr>
              <w:pBdr/>
              <w:spacing/>
              <w:ind/>
              <w:rPr/>
            </w:pPr>
            <w:r>
              <w:t xml:space="preserve">Week-long national workshop</w:t>
            </w:r>
            <w:r/>
          </w:p>
          <w:p w14:paraId="50122AC6" w14:textId="77777777">
            <w:pPr>
              <w:pStyle w:val="829"/>
              <w:numPr>
                <w:ilvl w:val="0"/>
                <w:numId w:val="12"/>
              </w:numPr>
              <w:pBdr/>
              <w:spacing/>
              <w:ind/>
              <w:rPr/>
            </w:pPr>
            <w:r>
              <w:t xml:space="preserve">Update and validate MIS indicators</w:t>
            </w:r>
            <w:r/>
          </w:p>
          <w:p w14:paraId="27710BB9" w14:textId="73BDB693">
            <w:pPr>
              <w:pStyle w:val="829"/>
              <w:numPr>
                <w:ilvl w:val="0"/>
                <w:numId w:val="12"/>
              </w:numPr>
              <w:pBdr/>
              <w:spacing/>
              <w:ind/>
              <w:rPr/>
            </w:pPr>
            <w:r>
              <w:t xml:space="preserve">Ensure alignment with evolving national priorities and end-user needs</w:t>
            </w:r>
            <w:r/>
          </w:p>
        </w:tc>
        <w:tc>
          <w:tcPr>
            <w:tcBorders>
              <w:left w:val="none" w:color="000000" w:sz="4" w:space="0"/>
              <w:right w:val="none" w:color="000000" w:sz="4" w:space="0"/>
            </w:tcBorders>
            <w:tcW w:w="2075" w:type="dxa"/>
          </w:tcPr>
          <w:p w14:paraId="36DB8143" w14:textId="76456F09">
            <w:pPr>
              <w:pBdr/>
              <w:spacing/>
              <w:ind/>
              <w:rPr/>
            </w:pPr>
            <w:r>
              <w:t xml:space="preserve">30,000</w:t>
            </w:r>
            <w:r/>
          </w:p>
        </w:tc>
      </w:tr>
      <w:tr>
        <w:trPr/>
        <w:tc>
          <w:tcPr>
            <w:tcBorders>
              <w:left w:val="none" w:color="000000" w:sz="4" w:space="0"/>
              <w:right w:val="none" w:color="000000" w:sz="4" w:space="0"/>
            </w:tcBorders>
            <w:tcW w:w="2263" w:type="dxa"/>
          </w:tcPr>
          <w:p w14:paraId="21AB6CEA" w14:textId="5F66A036">
            <w:pPr>
              <w:pBdr/>
              <w:spacing/>
              <w:ind/>
              <w:rPr/>
            </w:pPr>
            <w:r>
              <w:t xml:space="preserve">Continuation of Governance Structure</w:t>
            </w:r>
            <w:r/>
          </w:p>
        </w:tc>
        <w:tc>
          <w:tcPr>
            <w:tcBorders>
              <w:left w:val="none" w:color="000000" w:sz="4" w:space="0"/>
              <w:right w:val="none" w:color="000000" w:sz="4" w:space="0"/>
            </w:tcBorders>
            <w:tcW w:w="4678" w:type="dxa"/>
          </w:tcPr>
          <w:p w14:paraId="31BBADB8" w14:textId="77777777">
            <w:pPr>
              <w:pStyle w:val="829"/>
              <w:numPr>
                <w:ilvl w:val="0"/>
                <w:numId w:val="10"/>
              </w:numPr>
              <w:pBdr/>
              <w:spacing/>
              <w:ind/>
              <w:rPr/>
            </w:pPr>
            <w:r>
              <w:t xml:space="preserve">Quarterly Steering Committee and Technical Committee meetings</w:t>
            </w:r>
            <w:r/>
          </w:p>
          <w:p w14:paraId="487E1B15" w14:textId="00596AD9">
            <w:pPr>
              <w:pStyle w:val="829"/>
              <w:numPr>
                <w:ilvl w:val="0"/>
                <w:numId w:val="10"/>
              </w:numPr>
              <w:pBdr/>
              <w:spacing/>
              <w:ind/>
              <w:rPr/>
            </w:pPr>
            <w:r>
              <w:t xml:space="preserve">Meeting venue hire and catering</w:t>
            </w:r>
            <w:r/>
          </w:p>
        </w:tc>
        <w:tc>
          <w:tcPr>
            <w:tcBorders>
              <w:left w:val="none" w:color="000000" w:sz="4" w:space="0"/>
              <w:right w:val="none" w:color="000000" w:sz="4" w:space="0"/>
            </w:tcBorders>
            <w:tcW w:w="2075" w:type="dxa"/>
          </w:tcPr>
          <w:p w14:paraId="28E1D8CF" w14:textId="20C02947">
            <w:pPr>
              <w:pBdr/>
              <w:spacing/>
              <w:ind/>
              <w:rPr/>
            </w:pPr>
            <w:r>
              <w:t xml:space="preserve">25,000</w:t>
            </w:r>
            <w:r/>
          </w:p>
        </w:tc>
      </w:tr>
      <w:tr>
        <w:trPr/>
        <w:tc>
          <w:tcPr>
            <w:tcBorders>
              <w:left w:val="none" w:color="000000" w:sz="4" w:space="0"/>
              <w:right w:val="none" w:color="000000" w:sz="4" w:space="0"/>
            </w:tcBorders>
            <w:tcW w:w="2263" w:type="dxa"/>
          </w:tcPr>
          <w:p w14:paraId="33059501" w14:textId="2EBA387C">
            <w:pPr>
              <w:pBdr/>
              <w:spacing/>
              <w:ind/>
              <w:rPr>
                <w:b/>
                <w:bCs/>
              </w:rPr>
            </w:pPr>
            <w:r>
              <w:rPr>
                <w:b/>
                <w:bCs/>
              </w:rPr>
              <w:t xml:space="preserve">Total</w:t>
            </w:r>
            <w:r>
              <w:rPr>
                <w:b/>
                <w:bCs/>
              </w:rPr>
            </w:r>
          </w:p>
        </w:tc>
        <w:tc>
          <w:tcPr>
            <w:tcBorders>
              <w:left w:val="none" w:color="000000" w:sz="4" w:space="0"/>
              <w:right w:val="none" w:color="000000" w:sz="4" w:space="0"/>
            </w:tcBorders>
            <w:tcW w:w="4678" w:type="dxa"/>
          </w:tcPr>
          <w:p w14:paraId="78321968" w14:textId="77777777">
            <w:pPr>
              <w:pBdr/>
              <w:spacing/>
              <w:ind/>
              <w:rPr>
                <w:b/>
                <w:bCs/>
              </w:rPr>
            </w:pPr>
            <w:r>
              <w:rPr>
                <w:b/>
                <w:bCs/>
              </w:rPr>
            </w:r>
            <w:r>
              <w:rPr>
                <w:b/>
                <w:bCs/>
              </w:rPr>
            </w:r>
          </w:p>
        </w:tc>
        <w:tc>
          <w:tcPr>
            <w:tcBorders>
              <w:left w:val="none" w:color="000000" w:sz="4" w:space="0"/>
              <w:right w:val="none" w:color="000000" w:sz="4" w:space="0"/>
            </w:tcBorders>
            <w:tcW w:w="2075" w:type="dxa"/>
          </w:tcPr>
          <w:p w14:paraId="3505A703" w14:textId="0DEC3FBB">
            <w:pPr>
              <w:pBdr/>
              <w:spacing/>
              <w:ind/>
              <w:rPr>
                <w:b/>
                <w:bCs/>
              </w:rPr>
            </w:pPr>
            <w:r>
              <w:rPr>
                <w:b/>
                <w:bCs/>
              </w:rPr>
              <w:t xml:space="preserve">44</w:t>
            </w:r>
            <w:r>
              <w:rPr>
                <w:b/>
                <w:bCs/>
              </w:rPr>
              <w:t xml:space="preserve">0,000</w:t>
            </w:r>
            <w:r>
              <w:rPr>
                <w:b/>
                <w:bCs/>
              </w:rPr>
            </w:r>
          </w:p>
        </w:tc>
      </w:tr>
    </w:tbl>
    <w:p w14:paraId="5E1FAA17" w14:textId="77777777">
      <w:pPr>
        <w:pBdr/>
        <w:spacing/>
        <w:ind/>
        <w:jc w:val="both"/>
        <w:rPr/>
      </w:pPr>
      <w:r/>
      <w:r/>
    </w:p>
    <w:p w14:paraId="67B248AD" w14:textId="77777777">
      <w:pPr>
        <w:pBdr/>
        <w:spacing/>
        <w:ind/>
        <w:jc w:val="both"/>
        <w:rPr/>
      </w:pPr>
      <w:r/>
      <w:r/>
    </w:p>
    <w:p w14:paraId="3D9B0457" w14:textId="77777777">
      <w:pPr>
        <w:pBdr/>
        <w:spacing/>
        <w:ind/>
        <w:jc w:val="both"/>
        <w:rPr>
          <w:b/>
          <w:bCs/>
          <w:i/>
          <w:iCs/>
          <w:u w:val="single"/>
        </w:rPr>
      </w:pPr>
      <w:r>
        <w:rPr>
          <w:b/>
          <w:bCs/>
          <w:i/>
          <w:iCs/>
          <w:u w:val="single"/>
        </w:rPr>
        <w:t xml:space="preserve">6. Phase I Achievements to Phase II Priorities Mapping</w:t>
      </w:r>
      <w:r>
        <w:rPr>
          <w:b/>
          <w:bCs/>
          <w:i/>
          <w:iCs/>
          <w:u w:val="single"/>
        </w:rPr>
      </w:r>
    </w:p>
    <w:p w14:paraId="2C8AB311" w14:textId="1F51D436">
      <w:pPr>
        <w:pBdr/>
        <w:spacing/>
        <w:ind/>
        <w:jc w:val="both"/>
        <w:rPr/>
      </w:pPr>
      <w:r/>
      <w:r/>
    </w:p>
    <w:tbl>
      <w:tblPr>
        <w:tblStyle w:val="830"/>
        <w:tblW w:w="0" w:type="auto"/>
        <w:tblBorders/>
        <w:tblLook w:val="04A0" w:firstRow="1" w:lastRow="0" w:firstColumn="1" w:lastColumn="0" w:noHBand="0" w:noVBand="1"/>
      </w:tblPr>
      <w:tblGrid>
        <w:gridCol w:w="4508"/>
        <w:gridCol w:w="4508"/>
      </w:tblGrid>
      <w:tr>
        <w:trPr/>
        <w:tc>
          <w:tcPr>
            <w:shd w:val="clear" w:color="auto" w:fill="b4c6e7" w:themeFill="accent1" w:themeFillTint="66"/>
            <w:tcBorders>
              <w:left w:val="none" w:color="000000" w:sz="4" w:space="0"/>
              <w:right w:val="none" w:color="000000" w:sz="4" w:space="0"/>
            </w:tcBorders>
            <w:tcW w:w="4508" w:type="dxa"/>
          </w:tcPr>
          <w:p w14:paraId="04BF8573" w14:textId="1292C607">
            <w:pPr>
              <w:pBdr/>
              <w:spacing/>
              <w:ind/>
              <w:jc w:val="both"/>
              <w:rPr>
                <w:b/>
                <w:bCs/>
              </w:rPr>
            </w:pPr>
            <w:r>
              <w:rPr>
                <w:b/>
                <w:bCs/>
              </w:rPr>
              <w:t xml:space="preserve">Phase I Achievements</w:t>
            </w:r>
            <w:r>
              <w:rPr>
                <w:b/>
                <w:bCs/>
              </w:rPr>
            </w:r>
          </w:p>
        </w:tc>
        <w:tc>
          <w:tcPr>
            <w:shd w:val="clear" w:color="auto" w:fill="b4c6e7" w:themeFill="accent1" w:themeFillTint="66"/>
            <w:tcBorders>
              <w:left w:val="none" w:color="000000" w:sz="4" w:space="0"/>
              <w:bottom w:val="single" w:color="auto" w:sz="4" w:space="0"/>
              <w:right w:val="none" w:color="000000" w:sz="4" w:space="0"/>
            </w:tcBorders>
            <w:tcW w:w="4508" w:type="dxa"/>
          </w:tcPr>
          <w:p w14:paraId="426F4E57" w14:textId="458C1DFD">
            <w:pPr>
              <w:pBdr/>
              <w:spacing/>
              <w:ind/>
              <w:jc w:val="both"/>
              <w:rPr>
                <w:b/>
                <w:bCs/>
              </w:rPr>
            </w:pPr>
            <w:r>
              <w:rPr>
                <w:b/>
                <w:bCs/>
              </w:rPr>
              <w:t xml:space="preserve">Phase II Priorities</w:t>
            </w:r>
            <w:r>
              <w:rPr>
                <w:b/>
                <w:bCs/>
              </w:rPr>
            </w:r>
          </w:p>
        </w:tc>
      </w:tr>
      <w:tr>
        <w:trPr/>
        <w:tc>
          <w:tcPr>
            <w:tcBorders>
              <w:left w:val="none" w:color="000000" w:sz="4" w:space="0"/>
              <w:right w:val="none" w:color="000000" w:sz="4" w:space="0"/>
            </w:tcBorders>
            <w:tcW w:w="4508" w:type="dxa"/>
          </w:tcPr>
          <w:p w14:paraId="52D2C05A" w14:textId="61078E34">
            <w:pPr>
              <w:pBdr/>
              <w:spacing/>
              <w:ind/>
              <w:jc w:val="both"/>
              <w:rPr/>
            </w:pPr>
            <w:r>
              <w:t xml:space="preserve">Governance structure established (Steering &amp; Technical Committees)</w:t>
            </w:r>
            <w:r/>
          </w:p>
        </w:tc>
        <w:tc>
          <w:tcPr>
            <w:tcBorders>
              <w:left w:val="none" w:color="000000" w:sz="4" w:space="0"/>
              <w:right w:val="none" w:color="000000" w:sz="4" w:space="0"/>
            </w:tcBorders>
            <w:tcW w:w="4508" w:type="dxa"/>
          </w:tcPr>
          <w:p w14:paraId="7A2A2AFD" w14:textId="1BF840CD">
            <w:pPr>
              <w:pBdr/>
              <w:spacing/>
              <w:ind/>
              <w:jc w:val="both"/>
              <w:rPr/>
            </w:pPr>
            <w:r>
              <w:t xml:space="preserve">Continue multi-stakeholder governance and embed feedback into MIS &amp; RAP upgrades</w:t>
            </w:r>
            <w:r/>
          </w:p>
        </w:tc>
      </w:tr>
      <w:tr>
        <w:trPr/>
        <w:tc>
          <w:tcPr>
            <w:tcBorders>
              <w:left w:val="none" w:color="000000" w:sz="4" w:space="0"/>
              <w:right w:val="none" w:color="000000" w:sz="4" w:space="0"/>
            </w:tcBorders>
            <w:tcW w:w="4508" w:type="dxa"/>
          </w:tcPr>
          <w:p w14:paraId="69D14FAA" w14:textId="3222C60C">
            <w:pPr>
              <w:pBdr/>
              <w:spacing/>
              <w:ind/>
              <w:jc w:val="both"/>
              <w:rPr/>
            </w:pPr>
            <w:r>
              <w:t xml:space="preserve">Nationwide needs assessments conducted in all provinces</w:t>
            </w:r>
            <w:r/>
          </w:p>
        </w:tc>
        <w:tc>
          <w:tcPr>
            <w:tcBorders>
              <w:left w:val="none" w:color="000000" w:sz="4" w:space="0"/>
              <w:right w:val="none" w:color="000000" w:sz="4" w:space="0"/>
            </w:tcBorders>
            <w:tcW w:w="4508" w:type="dxa"/>
          </w:tcPr>
          <w:p w14:paraId="1DEA1B81" w14:textId="63CF7089">
            <w:pPr>
              <w:pBdr/>
              <w:spacing/>
              <w:ind/>
              <w:jc w:val="both"/>
              <w:rPr/>
            </w:pPr>
            <w:r>
              <w:t xml:space="preserve">Deliver provincial-level MIS &amp; RAP training based on identified needs</w:t>
            </w:r>
            <w:r/>
          </w:p>
        </w:tc>
      </w:tr>
      <w:tr>
        <w:trPr/>
        <w:tc>
          <w:tcPr>
            <w:tcBorders>
              <w:left w:val="none" w:color="000000" w:sz="4" w:space="0"/>
              <w:right w:val="none" w:color="000000" w:sz="4" w:space="0"/>
            </w:tcBorders>
            <w:tcW w:w="4508" w:type="dxa"/>
          </w:tcPr>
          <w:p w14:paraId="31571780" w14:textId="18F0401F">
            <w:pPr>
              <w:pBdr/>
              <w:spacing/>
              <w:ind/>
              <w:jc w:val="both"/>
              <w:rPr/>
            </w:pPr>
            <w:r>
              <w:t xml:space="preserve">Development of RAP for cyclone damage and recovery estimation</w:t>
            </w:r>
            <w:r/>
          </w:p>
        </w:tc>
        <w:tc>
          <w:tcPr>
            <w:tcBorders>
              <w:left w:val="none" w:color="000000" w:sz="4" w:space="0"/>
              <w:right w:val="none" w:color="000000" w:sz="4" w:space="0"/>
            </w:tcBorders>
            <w:tcW w:w="4508" w:type="dxa"/>
          </w:tcPr>
          <w:p w14:paraId="752D4D28" w14:textId="4CD3E8D9">
            <w:pPr>
              <w:pBdr/>
              <w:spacing/>
              <w:ind/>
              <w:jc w:val="both"/>
              <w:rPr/>
            </w:pPr>
            <w:r>
              <w:t xml:space="preserve">Field-test RAP, refine methodology, and expand to earthquakes and other hazards</w:t>
            </w:r>
            <w:r/>
          </w:p>
        </w:tc>
      </w:tr>
      <w:tr>
        <w:trPr/>
        <w:tc>
          <w:tcPr>
            <w:tcBorders>
              <w:left w:val="none" w:color="000000" w:sz="4" w:space="0"/>
              <w:right w:val="none" w:color="000000" w:sz="4" w:space="0"/>
            </w:tcBorders>
            <w:tcW w:w="4508" w:type="dxa"/>
          </w:tcPr>
          <w:p w14:paraId="284D57B3" w14:textId="1F0164F8">
            <w:pPr>
              <w:pBdr/>
              <w:spacing/>
              <w:ind/>
              <w:jc w:val="both"/>
              <w:rPr/>
            </w:pPr>
            <w:r>
              <w:t xml:space="preserve">Launch of machine learning training for climate change monitoring</w:t>
            </w:r>
            <w:r/>
          </w:p>
        </w:tc>
        <w:tc>
          <w:tcPr>
            <w:tcBorders>
              <w:left w:val="none" w:color="000000" w:sz="4" w:space="0"/>
              <w:right w:val="none" w:color="000000" w:sz="4" w:space="0"/>
            </w:tcBorders>
            <w:tcW w:w="4508" w:type="dxa"/>
          </w:tcPr>
          <w:p w14:paraId="3A2A2806" w14:textId="79F7D109">
            <w:pPr>
              <w:pBdr/>
              <w:spacing/>
              <w:ind/>
              <w:jc w:val="both"/>
              <w:rPr/>
            </w:pPr>
            <w:r>
              <w:t xml:space="preserve">Enhance ML models and verify outputs through ground-truthing missions</w:t>
            </w:r>
            <w:r/>
          </w:p>
        </w:tc>
      </w:tr>
      <w:tr>
        <w:trPr/>
        <w:tc>
          <w:tcPr>
            <w:tcBorders>
              <w:left w:val="none" w:color="000000" w:sz="4" w:space="0"/>
              <w:right w:val="none" w:color="000000" w:sz="4" w:space="0"/>
            </w:tcBorders>
            <w:tcW w:w="4508" w:type="dxa"/>
          </w:tcPr>
          <w:p w14:paraId="5EC6D856" w14:textId="6A97863A">
            <w:pPr>
              <w:pBdr/>
              <w:spacing/>
              <w:ind/>
              <w:jc w:val="both"/>
              <w:rPr/>
            </w:pPr>
            <w:r>
              <w:t xml:space="preserve">Commissioning of MIS development to integrate RAP and ML outputs</w:t>
            </w:r>
            <w:r/>
          </w:p>
        </w:tc>
        <w:tc>
          <w:tcPr>
            <w:tcBorders>
              <w:left w:val="none" w:color="000000" w:sz="4" w:space="0"/>
              <w:right w:val="none" w:color="000000" w:sz="4" w:space="0"/>
            </w:tcBorders>
            <w:tcW w:w="4508" w:type="dxa"/>
          </w:tcPr>
          <w:p w14:paraId="0D66408C" w14:textId="5289AA4E">
            <w:pPr>
              <w:pBdr/>
              <w:spacing/>
              <w:ind/>
              <w:jc w:val="both"/>
              <w:rPr/>
            </w:pPr>
            <w:r>
              <w:t xml:space="preserve">Operationalise MIS in provinces and stress-test during annual disaster simulations</w:t>
            </w:r>
            <w:r/>
          </w:p>
        </w:tc>
      </w:tr>
      <w:tr>
        <w:trPr/>
        <w:tc>
          <w:tcPr>
            <w:tcBorders>
              <w:left w:val="none" w:color="000000" w:sz="4" w:space="0"/>
              <w:right w:val="none" w:color="000000" w:sz="4" w:space="0"/>
            </w:tcBorders>
            <w:tcW w:w="4508" w:type="dxa"/>
          </w:tcPr>
          <w:p w14:paraId="3644D854" w14:textId="44292782">
            <w:pPr>
              <w:pBdr/>
              <w:spacing/>
              <w:ind/>
              <w:jc w:val="both"/>
              <w:rPr/>
            </w:pPr>
            <w:r>
              <w:t xml:space="preserve">No systematic mechanism for cross-government data sharing in Phase I</w:t>
            </w:r>
            <w:r/>
          </w:p>
        </w:tc>
        <w:tc>
          <w:tcPr>
            <w:tcBorders>
              <w:left w:val="none" w:color="000000" w:sz="4" w:space="0"/>
              <w:right w:val="none" w:color="000000" w:sz="4" w:space="0"/>
            </w:tcBorders>
            <w:tcW w:w="4508" w:type="dxa"/>
          </w:tcPr>
          <w:p w14:paraId="0A2BF0C0" w14:textId="6D35E52F">
            <w:pPr>
              <w:pBdr/>
              <w:spacing/>
              <w:ind/>
              <w:jc w:val="both"/>
              <w:rPr/>
            </w:pPr>
            <w:r>
              <w:t xml:space="preserve">Engage specialist consultancy to establish API/SQL integration with departmental MIS for real-time data flows</w:t>
            </w:r>
            <w:r/>
          </w:p>
        </w:tc>
      </w:tr>
      <w:tr>
        <w:trPr/>
        <w:tc>
          <w:tcPr>
            <w:tcBorders>
              <w:left w:val="none" w:color="000000" w:sz="4" w:space="0"/>
              <w:right w:val="none" w:color="000000" w:sz="4" w:space="0"/>
            </w:tcBorders>
            <w:tcW w:w="4508" w:type="dxa"/>
          </w:tcPr>
          <w:p w14:paraId="3FE7D752" w14:textId="5BC694AF">
            <w:pPr>
              <w:pBdr/>
              <w:spacing/>
              <w:ind/>
              <w:jc w:val="both"/>
              <w:rPr/>
            </w:pPr>
            <w:r>
              <w:t xml:space="preserve">No structured process for annual MIS indicator validation in Phase I</w:t>
            </w:r>
            <w:r/>
          </w:p>
        </w:tc>
        <w:tc>
          <w:tcPr>
            <w:tcBorders>
              <w:left w:val="none" w:color="000000" w:sz="4" w:space="0"/>
              <w:right w:val="none" w:color="000000" w:sz="4" w:space="0"/>
            </w:tcBorders>
            <w:tcW w:w="4508" w:type="dxa"/>
          </w:tcPr>
          <w:p w14:paraId="3C3C2AC6" w14:textId="1105B2E2">
            <w:pPr>
              <w:pBdr/>
              <w:spacing/>
              <w:ind/>
              <w:jc w:val="both"/>
              <w:rPr/>
            </w:pPr>
            <w:r>
              <w:t xml:space="preserve">Institutionalise annual week-long workshop to update and validate MIS indicators</w:t>
            </w:r>
            <w:r/>
          </w:p>
        </w:tc>
      </w:tr>
    </w:tbl>
    <w:p w14:paraId="2146CE7F" w14:textId="77777777">
      <w:pPr>
        <w:pBdr/>
        <w:spacing/>
        <w:ind/>
        <w:jc w:val="both"/>
        <w:rPr/>
      </w:pPr>
      <w:r/>
      <w:r/>
    </w:p>
    <w:sectPr>
      <w:headerReference w:type="default" r:id="rId9"/>
      <w:footerReference w:type="default" r:id="rId10"/>
      <w:footerReference w:type="even" r:id="rId11"/>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DA826F9" w14:textId="77777777">
      <w:pPr>
        <w:pBdr/>
        <w:spacing/>
        <w:ind/>
        <w:rPr/>
      </w:pPr>
      <w:r>
        <w:separator/>
      </w:r>
      <w:r/>
    </w:p>
  </w:endnote>
  <w:endnote w:type="continuationSeparator" w:id="0">
    <w:p w14:paraId="6886EBEA"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3458605"/>
      <w:docPartObj>
        <w:docPartGallery w:val="Page Numbers (Bottom of Page)"/>
        <w:docPartUnique w:val="true"/>
      </w:docPartObj>
      <w:rPr/>
    </w:sdtPr>
    <w:sdtContent>
      <w:p w14:paraId="786202AB" w14:textId="03A0B40C">
        <w:pPr>
          <w:pStyle w:val="824"/>
          <w:framePr w:hAnchor="margin" w:vAnchor="text" w:wrap="none" w:xAlign="right" w:y="1"/>
          <w:pBdr/>
          <w:spacing/>
          <w:ind/>
          <w:rPr>
            <w:rStyle w:val="826"/>
          </w:rPr>
        </w:pPr>
        <w:r>
          <w:rPr>
            <w:rStyle w:val="826"/>
          </w:rPr>
          <w:fldChar w:fldCharType="begin"/>
        </w:r>
        <w:r>
          <w:rPr>
            <w:rStyle w:val="826"/>
          </w:rPr>
          <w:instrText xml:space="preserve"> PAGE </w:instrText>
        </w:r>
        <w:r>
          <w:rPr>
            <w:rStyle w:val="826"/>
          </w:rPr>
          <w:fldChar w:fldCharType="separate"/>
        </w:r>
        <w:r>
          <w:rPr>
            <w:rStyle w:val="826"/>
          </w:rPr>
          <w:t xml:space="preserve">1</w:t>
        </w:r>
        <w:r>
          <w:rPr>
            <w:rStyle w:val="826"/>
          </w:rPr>
          <w:fldChar w:fldCharType="end"/>
        </w:r>
        <w:r>
          <w:rPr>
            <w:rStyle w:val="826"/>
          </w:rPr>
        </w:r>
      </w:p>
    </w:sdtContent>
  </w:sdt>
  <w:p w14:paraId="7D1DB97E" w14:textId="77777777">
    <w:pPr>
      <w:pStyle w:val="824"/>
      <w:pBdr/>
      <w:spacing/>
      <w:ind w:right="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58942256"/>
      <w:docPartObj>
        <w:docPartGallery w:val="Page Numbers (Bottom of Page)"/>
        <w:docPartUnique w:val="true"/>
      </w:docPartObj>
      <w:rPr/>
    </w:sdtPr>
    <w:sdtContent>
      <w:p w14:paraId="26B4648A" w14:textId="18A24D87">
        <w:pPr>
          <w:pStyle w:val="824"/>
          <w:framePr w:hAnchor="margin" w:vAnchor="text" w:wrap="none" w:xAlign="right" w:y="1"/>
          <w:pBdr/>
          <w:spacing/>
          <w:ind/>
          <w:rPr>
            <w:rStyle w:val="826"/>
          </w:rPr>
        </w:pPr>
        <w:r>
          <w:rPr>
            <w:rStyle w:val="826"/>
          </w:rPr>
          <w:fldChar w:fldCharType="begin"/>
        </w:r>
        <w:r>
          <w:rPr>
            <w:rStyle w:val="826"/>
          </w:rPr>
          <w:instrText xml:space="preserve"> PAGE </w:instrText>
        </w:r>
        <w:r>
          <w:rPr>
            <w:rStyle w:val="826"/>
          </w:rPr>
          <w:fldChar w:fldCharType="end"/>
        </w:r>
        <w:r>
          <w:rPr>
            <w:rStyle w:val="826"/>
          </w:rPr>
        </w:r>
      </w:p>
    </w:sdtContent>
  </w:sdt>
  <w:p w14:paraId="0DC0561E" w14:textId="77777777">
    <w:pPr>
      <w:pStyle w:val="824"/>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5ACEA26" w14:textId="77777777">
      <w:pPr>
        <w:pBdr/>
        <w:spacing/>
        <w:ind/>
        <w:rPr/>
      </w:pPr>
      <w:r>
        <w:separator/>
      </w:r>
      <w:r/>
    </w:p>
  </w:footnote>
  <w:footnote w:type="continuationSeparator" w:id="0">
    <w:p w14:paraId="23381991"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661DB58" w14:textId="14F5C865">
    <w:pPr>
      <w:pStyle w:val="827"/>
      <w:pBdr/>
      <w:spacing/>
      <w:ind/>
      <w:jc w:val="center"/>
      <w:rPr/>
    </w:pPr>
    <w:r>
      <mc:AlternateContent>
        <mc:Choice Requires="wpg">
          <w:drawing>
            <wp:inline xmlns:wp="http://schemas.openxmlformats.org/drawingml/2006/wordprocessingDrawing" distT="0" distB="0" distL="0" distR="0">
              <wp:extent cx="1013858" cy="836295"/>
              <wp:effectExtent l="0" t="0" r="2540" b="1905"/>
              <wp:docPr id="1" name="Picture 1" descr="NA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NAB logo"/>
                      <pic:cNvPicPr>
                        <a:picLocks noChangeAspect="1"/>
                      </pic:cNvPicPr>
                      <pic:nvPr/>
                    </pic:nvPicPr>
                    <pic:blipFill rotWithShape="1">
                      <a:blip r:embed="rId1"/>
                      <a:stretch/>
                    </pic:blipFill>
                    <pic:spPr bwMode="auto">
                      <a:xfrm>
                        <a:off x="0" y="0"/>
                        <a:ext cx="1037998" cy="85620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9.83pt;height:65.85pt;mso-wrap-distance-left:0.00pt;mso-wrap-distance-top:0.00pt;mso-wrap-distance-right:0.00pt;mso-wrap-distance-bottom:0.00pt;z-index:1;" stroked="f">
              <v:imagedata r:id="rId1" o:title=""/>
              <o:lock v:ext="edit" rotation="t"/>
            </v:shape>
          </w:pict>
        </mc:Fallback>
      </mc:AlternateContent>
    </w:r>
    <w:r>
      <mc:AlternateContent>
        <mc:Choice Requires="wpg">
          <w:drawing>
            <wp:inline xmlns:wp="http://schemas.openxmlformats.org/drawingml/2006/wordprocessingDrawing" distT="0" distB="0" distL="0" distR="0">
              <wp:extent cx="836579" cy="836579"/>
              <wp:effectExtent l="0" t="0" r="1905" b="1905"/>
              <wp:docPr id="2" name="Picture 2" descr="A colorful circle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99020" name="Picture 1" descr="A colorful circle with numbers&#10;&#10;Description automatically generated"/>
                      <pic:cNvPicPr>
                        <a:picLocks noChangeAspect="1"/>
                      </pic:cNvPicPr>
                      <pic:nvPr/>
                    </pic:nvPicPr>
                    <pic:blipFill rotWithShape="1">
                      <a:blip r:embed="rId2"/>
                      <a:stretch/>
                    </pic:blipFill>
                    <pic:spPr bwMode="auto">
                      <a:xfrm>
                        <a:off x="0" y="0"/>
                        <a:ext cx="846743" cy="84674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5.87pt;height:65.87pt;mso-wrap-distance-left:0.00pt;mso-wrap-distance-top:0.00pt;mso-wrap-distance-right:0.00pt;mso-wrap-distance-bottom:0.00pt;z-index:1;" stroked="f">
              <v:imagedata r:id="rId2" o:title=""/>
              <o:lock v:ext="edit" rotation="t"/>
            </v:shape>
          </w:pict>
        </mc:Fallback>
      </mc:AlternateContent>
    </w:r>
    <w:r>
      <w:t xml:space="preserve"> </w:t>
    </w:r>
    <w:r>
      <w:fldChar w:fldCharType="begin"/>
    </w:r>
    <w:r>
      <w:instrText xml:space="preserve"> INCLUDEPICTURE "https://bloximages.chicago2.vip.townnews.com/dailypost.vu/content/tncms/assets/v3/editorial/b/90/b902ad05-d82e-540b-bc91-eb8fa35bf2ba/63a6143398d58.image.png?resize=536%2C500" \* MERGEFORMATINET </w:instrText>
    </w:r>
    <w:r>
      <w:fldChar w:fldCharType="separate"/>
    </w:r>
    <w:r>
      <mc:AlternateContent>
        <mc:Choice Requires="wpg">
          <w:drawing>
            <wp:inline xmlns:wp="http://schemas.openxmlformats.org/drawingml/2006/wordprocessingDrawing" distT="0" distB="0" distL="0" distR="0">
              <wp:extent cx="904672" cy="843933"/>
              <wp:effectExtent l="0" t="0" r="0" b="0"/>
              <wp:docPr id="3" name="Picture 3" descr="Vanuatu National Statistics Now Vanuatu Bureau of Statistics | News |  dailypost.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anuatu National Statistics Now Vanuatu Bureau of Statistics | News |  dailypost.vu"/>
                      <pic:cNvPicPr>
                        <a:picLocks noChangeAspect="1"/>
                      </pic:cNvPicPr>
                      <pic:nvPr/>
                    </pic:nvPicPr>
                    <pic:blipFill rotWithShape="1">
                      <a:blip r:embed="rId3"/>
                      <a:stretch/>
                    </pic:blipFill>
                    <pic:spPr bwMode="auto">
                      <a:xfrm>
                        <a:off x="0" y="0"/>
                        <a:ext cx="971404" cy="9061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71.23pt;height:66.45pt;mso-wrap-distance-left:0.00pt;mso-wrap-distance-top:0.00pt;mso-wrap-distance-right:0.00pt;mso-wrap-distance-bottom:0.00pt;z-index:1;" stroked="f">
              <v:imagedata r:id="rId3" o:title=""/>
              <o:lock v:ext="edit" rotation="t"/>
            </v:shape>
          </w:pict>
        </mc:Fallback>
      </mc:AlternateContent>
    </w:r>
    <w:r>
      <w:fldChar w:fldCharType="end"/>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8D74DC"/>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106C33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279B1C3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4D9F19EF"/>
    <w:lvl w:ilvl="0">
      <w:isLgl w:val="false"/>
      <w:lvlJc w:val="right"/>
      <w:lvlText w:val="%1."/>
      <w:numFmt w:val="lowerRoman"/>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4EF84D0A"/>
    <w:lvl w:ilvl="0">
      <w:isLgl w:val="false"/>
      <w:lvlJc w:val="right"/>
      <w:lvlText w:val="%1."/>
      <w:numFmt w:val="lowerRoman"/>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512C46B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5138269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5428440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56B65DF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5DCE7BD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617E5D9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739911D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4"/>
  </w:num>
  <w:num w:numId="3">
    <w:abstractNumId w:val="3"/>
  </w:num>
  <w:num w:numId="4">
    <w:abstractNumId w:val="0"/>
  </w:num>
  <w:num w:numId="5">
    <w:abstractNumId w:val="11"/>
  </w:num>
  <w:num w:numId="6">
    <w:abstractNumId w:val="6"/>
  </w:num>
  <w:num w:numId="7">
    <w:abstractNumId w:val="7"/>
  </w:num>
  <w:num w:numId="8">
    <w:abstractNumId w:val="5"/>
  </w:num>
  <w:num w:numId="9">
    <w:abstractNumId w:val="8"/>
  </w:num>
  <w:num w:numId="10">
    <w:abstractNumId w:val="2"/>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2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2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2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2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2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2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2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2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2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2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2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2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2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2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2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2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2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2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2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2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2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2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2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2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2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2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2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2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2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2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2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2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2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2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2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2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2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2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2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2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2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2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2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2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2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2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2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2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2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2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2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2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2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2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2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2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2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2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2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2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2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2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2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2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2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2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2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20"/>
    <w:next w:val="820"/>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20"/>
    <w:next w:val="820"/>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20"/>
    <w:next w:val="820"/>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20"/>
    <w:next w:val="82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20"/>
    <w:next w:val="82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20"/>
    <w:next w:val="82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20"/>
    <w:next w:val="82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20"/>
    <w:next w:val="82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20"/>
    <w:next w:val="82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21"/>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21"/>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821"/>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21"/>
    <w:link w:val="142"/>
    <w:uiPriority w:val="9"/>
    <w:pPr>
      <w:pBdr/>
      <w:spacing/>
      <w:ind/>
    </w:pPr>
    <w:rPr>
      <w:rFonts w:ascii="Arial" w:hAnsi="Arial" w:eastAsia="Arial" w:cs="Arial"/>
      <w:i/>
      <w:iCs/>
      <w:color w:val="0f4761" w:themeColor="accent1" w:themeShade="BF"/>
    </w:rPr>
  </w:style>
  <w:style w:type="character" w:styleId="154">
    <w:name w:val="Heading 5 Char"/>
    <w:basedOn w:val="821"/>
    <w:link w:val="143"/>
    <w:uiPriority w:val="9"/>
    <w:pPr>
      <w:pBdr/>
      <w:spacing/>
      <w:ind/>
    </w:pPr>
    <w:rPr>
      <w:rFonts w:ascii="Arial" w:hAnsi="Arial" w:eastAsia="Arial" w:cs="Arial"/>
      <w:color w:val="0f4761" w:themeColor="accent1" w:themeShade="BF"/>
    </w:rPr>
  </w:style>
  <w:style w:type="character" w:styleId="155">
    <w:name w:val="Heading 6 Char"/>
    <w:basedOn w:val="821"/>
    <w:link w:val="144"/>
    <w:uiPriority w:val="9"/>
    <w:pPr>
      <w:pBdr/>
      <w:spacing/>
      <w:ind/>
    </w:pPr>
    <w:rPr>
      <w:rFonts w:ascii="Arial" w:hAnsi="Arial" w:eastAsia="Arial" w:cs="Arial"/>
      <w:i/>
      <w:iCs/>
      <w:color w:val="595959" w:themeColor="text1" w:themeTint="A6"/>
    </w:rPr>
  </w:style>
  <w:style w:type="character" w:styleId="156">
    <w:name w:val="Heading 7 Char"/>
    <w:basedOn w:val="821"/>
    <w:link w:val="145"/>
    <w:uiPriority w:val="9"/>
    <w:pPr>
      <w:pBdr/>
      <w:spacing/>
      <w:ind/>
    </w:pPr>
    <w:rPr>
      <w:rFonts w:ascii="Arial" w:hAnsi="Arial" w:eastAsia="Arial" w:cs="Arial"/>
      <w:color w:val="595959" w:themeColor="text1" w:themeTint="A6"/>
    </w:rPr>
  </w:style>
  <w:style w:type="character" w:styleId="157">
    <w:name w:val="Heading 8 Char"/>
    <w:basedOn w:val="821"/>
    <w:link w:val="146"/>
    <w:uiPriority w:val="9"/>
    <w:pPr>
      <w:pBdr/>
      <w:spacing/>
      <w:ind/>
    </w:pPr>
    <w:rPr>
      <w:rFonts w:ascii="Arial" w:hAnsi="Arial" w:eastAsia="Arial" w:cs="Arial"/>
      <w:i/>
      <w:iCs/>
      <w:color w:val="272727" w:themeColor="text1" w:themeTint="D8"/>
    </w:rPr>
  </w:style>
  <w:style w:type="character" w:styleId="158">
    <w:name w:val="Heading 9 Char"/>
    <w:basedOn w:val="821"/>
    <w:link w:val="147"/>
    <w:uiPriority w:val="9"/>
    <w:pPr>
      <w:pBdr/>
      <w:spacing/>
      <w:ind/>
    </w:pPr>
    <w:rPr>
      <w:rFonts w:ascii="Arial" w:hAnsi="Arial" w:eastAsia="Arial" w:cs="Arial"/>
      <w:i/>
      <w:iCs/>
      <w:color w:val="272727" w:themeColor="text1" w:themeTint="D8"/>
    </w:rPr>
  </w:style>
  <w:style w:type="paragraph" w:styleId="159">
    <w:name w:val="Title"/>
    <w:basedOn w:val="820"/>
    <w:next w:val="82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21"/>
    <w:link w:val="159"/>
    <w:uiPriority w:val="10"/>
    <w:pPr>
      <w:pBdr/>
      <w:spacing/>
      <w:ind/>
    </w:pPr>
    <w:rPr>
      <w:rFonts w:ascii="Arial" w:hAnsi="Arial" w:eastAsia="Arial" w:cs="Arial"/>
      <w:spacing w:val="-10"/>
      <w:sz w:val="56"/>
      <w:szCs w:val="56"/>
    </w:rPr>
  </w:style>
  <w:style w:type="paragraph" w:styleId="161">
    <w:name w:val="Subtitle"/>
    <w:basedOn w:val="820"/>
    <w:next w:val="820"/>
    <w:link w:val="162"/>
    <w:uiPriority w:val="11"/>
    <w:qFormat/>
    <w:pPr>
      <w:numPr>
        <w:ilvl w:val="1"/>
      </w:numPr>
      <w:pBdr/>
      <w:spacing/>
      <w:ind/>
    </w:pPr>
    <w:rPr>
      <w:color w:val="595959" w:themeColor="text1" w:themeTint="A6"/>
      <w:spacing w:val="15"/>
      <w:sz w:val="28"/>
      <w:szCs w:val="28"/>
    </w:rPr>
  </w:style>
  <w:style w:type="character" w:styleId="162">
    <w:name w:val="Subtitle Char"/>
    <w:basedOn w:val="821"/>
    <w:link w:val="161"/>
    <w:uiPriority w:val="11"/>
    <w:pPr>
      <w:pBdr/>
      <w:spacing/>
      <w:ind/>
    </w:pPr>
    <w:rPr>
      <w:color w:val="595959" w:themeColor="text1" w:themeTint="A6"/>
      <w:spacing w:val="15"/>
      <w:sz w:val="28"/>
      <w:szCs w:val="28"/>
    </w:rPr>
  </w:style>
  <w:style w:type="paragraph" w:styleId="163">
    <w:name w:val="Quote"/>
    <w:basedOn w:val="820"/>
    <w:next w:val="820"/>
    <w:link w:val="164"/>
    <w:uiPriority w:val="29"/>
    <w:qFormat/>
    <w:pPr>
      <w:pBdr/>
      <w:spacing w:before="160"/>
      <w:ind/>
      <w:jc w:val="center"/>
    </w:pPr>
    <w:rPr>
      <w:i/>
      <w:iCs/>
      <w:color w:val="404040" w:themeColor="text1" w:themeTint="BF"/>
    </w:rPr>
  </w:style>
  <w:style w:type="character" w:styleId="164">
    <w:name w:val="Quote Char"/>
    <w:basedOn w:val="821"/>
    <w:link w:val="163"/>
    <w:uiPriority w:val="29"/>
    <w:pPr>
      <w:pBdr/>
      <w:spacing/>
      <w:ind/>
    </w:pPr>
    <w:rPr>
      <w:i/>
      <w:iCs/>
      <w:color w:val="404040" w:themeColor="text1" w:themeTint="BF"/>
    </w:rPr>
  </w:style>
  <w:style w:type="character" w:styleId="166">
    <w:name w:val="Intense Emphasis"/>
    <w:basedOn w:val="821"/>
    <w:uiPriority w:val="21"/>
    <w:qFormat/>
    <w:pPr>
      <w:pBdr/>
      <w:spacing/>
      <w:ind/>
    </w:pPr>
    <w:rPr>
      <w:i/>
      <w:iCs/>
      <w:color w:val="0f4761" w:themeColor="accent1" w:themeShade="BF"/>
    </w:rPr>
  </w:style>
  <w:style w:type="paragraph" w:styleId="167">
    <w:name w:val="Intense Quote"/>
    <w:basedOn w:val="820"/>
    <w:next w:val="82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21"/>
    <w:link w:val="167"/>
    <w:uiPriority w:val="30"/>
    <w:pPr>
      <w:pBdr/>
      <w:spacing/>
      <w:ind/>
    </w:pPr>
    <w:rPr>
      <w:i/>
      <w:iCs/>
      <w:color w:val="0f4761" w:themeColor="accent1" w:themeShade="BF"/>
    </w:rPr>
  </w:style>
  <w:style w:type="character" w:styleId="169">
    <w:name w:val="Intense Reference"/>
    <w:basedOn w:val="821"/>
    <w:uiPriority w:val="32"/>
    <w:qFormat/>
    <w:pPr>
      <w:pBdr/>
      <w:spacing/>
      <w:ind/>
    </w:pPr>
    <w:rPr>
      <w:b/>
      <w:bCs/>
      <w:smallCaps/>
      <w:color w:val="0f4761" w:themeColor="accent1" w:themeShade="BF"/>
      <w:spacing w:val="5"/>
    </w:rPr>
  </w:style>
  <w:style w:type="paragraph" w:styleId="170">
    <w:name w:val="No Spacing"/>
    <w:basedOn w:val="820"/>
    <w:uiPriority w:val="1"/>
    <w:qFormat/>
    <w:pPr>
      <w:pBdr/>
      <w:spacing w:after="0" w:line="240" w:lineRule="auto"/>
      <w:ind/>
    </w:pPr>
  </w:style>
  <w:style w:type="character" w:styleId="171">
    <w:name w:val="Subtle Emphasis"/>
    <w:basedOn w:val="821"/>
    <w:uiPriority w:val="19"/>
    <w:qFormat/>
    <w:pPr>
      <w:pBdr/>
      <w:spacing/>
      <w:ind/>
    </w:pPr>
    <w:rPr>
      <w:i/>
      <w:iCs/>
      <w:color w:val="404040" w:themeColor="text1" w:themeTint="BF"/>
    </w:rPr>
  </w:style>
  <w:style w:type="character" w:styleId="172">
    <w:name w:val="Emphasis"/>
    <w:basedOn w:val="821"/>
    <w:uiPriority w:val="20"/>
    <w:qFormat/>
    <w:pPr>
      <w:pBdr/>
      <w:spacing/>
      <w:ind/>
    </w:pPr>
    <w:rPr>
      <w:i/>
      <w:iCs/>
    </w:rPr>
  </w:style>
  <w:style w:type="character" w:styleId="173">
    <w:name w:val="Strong"/>
    <w:basedOn w:val="821"/>
    <w:uiPriority w:val="22"/>
    <w:qFormat/>
    <w:pPr>
      <w:pBdr/>
      <w:spacing/>
      <w:ind/>
    </w:pPr>
    <w:rPr>
      <w:b/>
      <w:bCs/>
    </w:rPr>
  </w:style>
  <w:style w:type="character" w:styleId="174">
    <w:name w:val="Subtle Reference"/>
    <w:basedOn w:val="821"/>
    <w:uiPriority w:val="31"/>
    <w:qFormat/>
    <w:pPr>
      <w:pBdr/>
      <w:spacing/>
      <w:ind/>
    </w:pPr>
    <w:rPr>
      <w:smallCaps/>
      <w:color w:val="5a5a5a" w:themeColor="text1" w:themeTint="A5"/>
    </w:rPr>
  </w:style>
  <w:style w:type="character" w:styleId="175">
    <w:name w:val="Book Title"/>
    <w:basedOn w:val="821"/>
    <w:uiPriority w:val="33"/>
    <w:qFormat/>
    <w:pPr>
      <w:pBdr/>
      <w:spacing/>
      <w:ind/>
    </w:pPr>
    <w:rPr>
      <w:b/>
      <w:bCs/>
      <w:i/>
      <w:iCs/>
      <w:spacing w:val="5"/>
    </w:rPr>
  </w:style>
  <w:style w:type="paragraph" w:styleId="180">
    <w:name w:val="Caption"/>
    <w:basedOn w:val="820"/>
    <w:next w:val="820"/>
    <w:uiPriority w:val="35"/>
    <w:unhideWhenUsed/>
    <w:qFormat/>
    <w:pPr>
      <w:pBdr/>
      <w:spacing w:after="200" w:line="240" w:lineRule="auto"/>
      <w:ind/>
    </w:pPr>
    <w:rPr>
      <w:i/>
      <w:iCs/>
      <w:color w:val="0e2841" w:themeColor="text2"/>
      <w:sz w:val="18"/>
      <w:szCs w:val="18"/>
    </w:rPr>
  </w:style>
  <w:style w:type="paragraph" w:styleId="181">
    <w:name w:val="footnote text"/>
    <w:basedOn w:val="820"/>
    <w:link w:val="182"/>
    <w:uiPriority w:val="99"/>
    <w:semiHidden/>
    <w:unhideWhenUsed/>
    <w:pPr>
      <w:pBdr/>
      <w:spacing w:after="0" w:line="240" w:lineRule="auto"/>
      <w:ind/>
    </w:pPr>
    <w:rPr>
      <w:sz w:val="20"/>
      <w:szCs w:val="20"/>
    </w:rPr>
  </w:style>
  <w:style w:type="character" w:styleId="182">
    <w:name w:val="Footnote Text Char"/>
    <w:basedOn w:val="821"/>
    <w:link w:val="181"/>
    <w:uiPriority w:val="99"/>
    <w:semiHidden/>
    <w:pPr>
      <w:pBdr/>
      <w:spacing/>
      <w:ind/>
    </w:pPr>
    <w:rPr>
      <w:sz w:val="20"/>
      <w:szCs w:val="20"/>
    </w:rPr>
  </w:style>
  <w:style w:type="character" w:styleId="183">
    <w:name w:val="footnote reference"/>
    <w:basedOn w:val="821"/>
    <w:uiPriority w:val="99"/>
    <w:semiHidden/>
    <w:unhideWhenUsed/>
    <w:pPr>
      <w:pBdr/>
      <w:spacing/>
      <w:ind/>
    </w:pPr>
    <w:rPr>
      <w:vertAlign w:val="superscript"/>
    </w:rPr>
  </w:style>
  <w:style w:type="paragraph" w:styleId="184">
    <w:name w:val="endnote text"/>
    <w:basedOn w:val="820"/>
    <w:link w:val="185"/>
    <w:uiPriority w:val="99"/>
    <w:semiHidden/>
    <w:unhideWhenUsed/>
    <w:pPr>
      <w:pBdr/>
      <w:spacing w:after="0" w:line="240" w:lineRule="auto"/>
      <w:ind/>
    </w:pPr>
    <w:rPr>
      <w:sz w:val="20"/>
      <w:szCs w:val="20"/>
    </w:rPr>
  </w:style>
  <w:style w:type="character" w:styleId="185">
    <w:name w:val="Endnote Text Char"/>
    <w:basedOn w:val="821"/>
    <w:link w:val="184"/>
    <w:uiPriority w:val="99"/>
    <w:semiHidden/>
    <w:pPr>
      <w:pBdr/>
      <w:spacing/>
      <w:ind/>
    </w:pPr>
    <w:rPr>
      <w:sz w:val="20"/>
      <w:szCs w:val="20"/>
    </w:rPr>
  </w:style>
  <w:style w:type="character" w:styleId="186">
    <w:name w:val="endnote reference"/>
    <w:basedOn w:val="821"/>
    <w:uiPriority w:val="99"/>
    <w:semiHidden/>
    <w:unhideWhenUsed/>
    <w:pPr>
      <w:pBdr/>
      <w:spacing/>
      <w:ind/>
    </w:pPr>
    <w:rPr>
      <w:vertAlign w:val="superscript"/>
    </w:rPr>
  </w:style>
  <w:style w:type="character" w:styleId="187">
    <w:name w:val="Hyperlink"/>
    <w:basedOn w:val="821"/>
    <w:uiPriority w:val="99"/>
    <w:unhideWhenUsed/>
    <w:pPr>
      <w:pBdr/>
      <w:spacing/>
      <w:ind/>
    </w:pPr>
    <w:rPr>
      <w:color w:val="0563c1" w:themeColor="hyperlink"/>
      <w:u w:val="single"/>
    </w:rPr>
  </w:style>
  <w:style w:type="character" w:styleId="188">
    <w:name w:val="FollowedHyperlink"/>
    <w:basedOn w:val="821"/>
    <w:uiPriority w:val="99"/>
    <w:semiHidden/>
    <w:unhideWhenUsed/>
    <w:pPr>
      <w:pBdr/>
      <w:spacing/>
      <w:ind/>
    </w:pPr>
    <w:rPr>
      <w:color w:val="954f72" w:themeColor="followedHyperlink"/>
      <w:u w:val="single"/>
    </w:rPr>
  </w:style>
  <w:style w:type="paragraph" w:styleId="189">
    <w:name w:val="toc 1"/>
    <w:basedOn w:val="820"/>
    <w:next w:val="820"/>
    <w:uiPriority w:val="39"/>
    <w:unhideWhenUsed/>
    <w:pPr>
      <w:pBdr/>
      <w:spacing w:after="100"/>
      <w:ind/>
    </w:pPr>
  </w:style>
  <w:style w:type="paragraph" w:styleId="190">
    <w:name w:val="toc 2"/>
    <w:basedOn w:val="820"/>
    <w:next w:val="820"/>
    <w:uiPriority w:val="39"/>
    <w:unhideWhenUsed/>
    <w:pPr>
      <w:pBdr/>
      <w:spacing w:after="100"/>
      <w:ind w:left="220"/>
    </w:pPr>
  </w:style>
  <w:style w:type="paragraph" w:styleId="191">
    <w:name w:val="toc 3"/>
    <w:basedOn w:val="820"/>
    <w:next w:val="820"/>
    <w:uiPriority w:val="39"/>
    <w:unhideWhenUsed/>
    <w:pPr>
      <w:pBdr/>
      <w:spacing w:after="100"/>
      <w:ind w:left="440"/>
    </w:pPr>
  </w:style>
  <w:style w:type="paragraph" w:styleId="192">
    <w:name w:val="toc 4"/>
    <w:basedOn w:val="820"/>
    <w:next w:val="820"/>
    <w:uiPriority w:val="39"/>
    <w:unhideWhenUsed/>
    <w:pPr>
      <w:pBdr/>
      <w:spacing w:after="100"/>
      <w:ind w:left="660"/>
    </w:pPr>
  </w:style>
  <w:style w:type="paragraph" w:styleId="193">
    <w:name w:val="toc 5"/>
    <w:basedOn w:val="820"/>
    <w:next w:val="820"/>
    <w:uiPriority w:val="39"/>
    <w:unhideWhenUsed/>
    <w:pPr>
      <w:pBdr/>
      <w:spacing w:after="100"/>
      <w:ind w:left="880"/>
    </w:pPr>
  </w:style>
  <w:style w:type="paragraph" w:styleId="194">
    <w:name w:val="toc 6"/>
    <w:basedOn w:val="820"/>
    <w:next w:val="820"/>
    <w:uiPriority w:val="39"/>
    <w:unhideWhenUsed/>
    <w:pPr>
      <w:pBdr/>
      <w:spacing w:after="100"/>
      <w:ind w:left="1100"/>
    </w:pPr>
  </w:style>
  <w:style w:type="paragraph" w:styleId="195">
    <w:name w:val="toc 7"/>
    <w:basedOn w:val="820"/>
    <w:next w:val="820"/>
    <w:uiPriority w:val="39"/>
    <w:unhideWhenUsed/>
    <w:pPr>
      <w:pBdr/>
      <w:spacing w:after="100"/>
      <w:ind w:left="1320"/>
    </w:pPr>
  </w:style>
  <w:style w:type="paragraph" w:styleId="196">
    <w:name w:val="toc 8"/>
    <w:basedOn w:val="820"/>
    <w:next w:val="820"/>
    <w:uiPriority w:val="39"/>
    <w:unhideWhenUsed/>
    <w:pPr>
      <w:pBdr/>
      <w:spacing w:after="100"/>
      <w:ind w:left="1540"/>
    </w:pPr>
  </w:style>
  <w:style w:type="paragraph" w:styleId="197">
    <w:name w:val="toc 9"/>
    <w:basedOn w:val="820"/>
    <w:next w:val="820"/>
    <w:uiPriority w:val="39"/>
    <w:unhideWhenUsed/>
    <w:pPr>
      <w:pBdr/>
      <w:spacing w:after="100"/>
      <w:ind w:left="1760"/>
    </w:pPr>
  </w:style>
  <w:style w:type="character" w:styleId="198">
    <w:name w:val="Placeholder Text"/>
    <w:basedOn w:val="82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20"/>
    <w:next w:val="820"/>
    <w:uiPriority w:val="99"/>
    <w:unhideWhenUsed/>
    <w:pPr>
      <w:pBdr/>
      <w:spacing w:after="0" w:afterAutospacing="0"/>
      <w:ind/>
    </w:pPr>
  </w:style>
  <w:style w:type="paragraph" w:styleId="820" w:default="1">
    <w:name w:val="Normal"/>
    <w:qFormat/>
    <w:pPr>
      <w:pBdr/>
      <w:spacing/>
      <w:ind/>
    </w:pPr>
  </w:style>
  <w:style w:type="character" w:styleId="821" w:default="1">
    <w:name w:val="Default Paragraph Font"/>
    <w:uiPriority w:val="1"/>
    <w:semiHidden/>
    <w:unhideWhenUsed/>
    <w:pPr>
      <w:pBdr/>
      <w:spacing/>
      <w:ind/>
    </w:pPr>
  </w:style>
  <w:style w:type="table" w:styleId="82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3" w:default="1">
    <w:name w:val="No List"/>
    <w:uiPriority w:val="99"/>
    <w:semiHidden/>
    <w:unhideWhenUsed/>
    <w:pPr>
      <w:pBdr/>
      <w:spacing/>
      <w:ind/>
    </w:pPr>
  </w:style>
  <w:style w:type="paragraph" w:styleId="824">
    <w:name w:val="Footer"/>
    <w:basedOn w:val="820"/>
    <w:link w:val="825"/>
    <w:uiPriority w:val="99"/>
    <w:unhideWhenUsed/>
    <w:pPr>
      <w:pBdr/>
      <w:tabs>
        <w:tab w:val="center" w:leader="none" w:pos="4513"/>
        <w:tab w:val="right" w:leader="none" w:pos="9026"/>
      </w:tabs>
      <w:spacing/>
      <w:ind/>
    </w:pPr>
  </w:style>
  <w:style w:type="character" w:styleId="825" w:customStyle="1">
    <w:name w:val="Footer Char"/>
    <w:basedOn w:val="821"/>
    <w:link w:val="824"/>
    <w:uiPriority w:val="99"/>
    <w:pPr>
      <w:pBdr/>
      <w:spacing/>
      <w:ind/>
    </w:pPr>
  </w:style>
  <w:style w:type="character" w:styleId="826">
    <w:name w:val="page number"/>
    <w:basedOn w:val="821"/>
    <w:uiPriority w:val="99"/>
    <w:semiHidden/>
    <w:unhideWhenUsed/>
    <w:pPr>
      <w:pBdr/>
      <w:spacing/>
      <w:ind/>
    </w:pPr>
  </w:style>
  <w:style w:type="paragraph" w:styleId="827">
    <w:name w:val="Header"/>
    <w:basedOn w:val="820"/>
    <w:link w:val="828"/>
    <w:uiPriority w:val="99"/>
    <w:unhideWhenUsed/>
    <w:pPr>
      <w:pBdr/>
      <w:tabs>
        <w:tab w:val="center" w:leader="none" w:pos="4513"/>
        <w:tab w:val="right" w:leader="none" w:pos="9026"/>
      </w:tabs>
      <w:spacing/>
      <w:ind/>
    </w:pPr>
  </w:style>
  <w:style w:type="character" w:styleId="828" w:customStyle="1">
    <w:name w:val="Header Char"/>
    <w:basedOn w:val="821"/>
    <w:link w:val="827"/>
    <w:uiPriority w:val="99"/>
    <w:pPr>
      <w:pBdr/>
      <w:spacing/>
      <w:ind/>
    </w:pPr>
  </w:style>
  <w:style w:type="paragraph" w:styleId="829">
    <w:name w:val="List Paragraph"/>
    <w:basedOn w:val="820"/>
    <w:uiPriority w:val="34"/>
    <w:qFormat/>
    <w:pPr>
      <w:pBdr/>
      <w:spacing/>
      <w:ind w:left="720"/>
      <w:contextualSpacing w:val="true"/>
    </w:pPr>
  </w:style>
  <w:style w:type="table" w:styleId="830">
    <w:name w:val="Table Grid"/>
    <w:basedOn w:val="822"/>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xmlns:p="http://schemas.openxmlformats.org/presentation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Pigott</dc:creator>
  <cp:keywords/>
  <dc:description/>
  <cp:revision>27</cp:revision>
  <dcterms:created xsi:type="dcterms:W3CDTF">2025-08-11T08:10:00Z</dcterms:created>
  <dcterms:modified xsi:type="dcterms:W3CDTF">2026-03-16T23:42:34Z</dcterms:modified>
</cp:coreProperties>
</file>