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CAD26" w14:textId="63333FF6" w:rsidR="00AC3E42" w:rsidRDefault="00AC3E42" w:rsidP="00AC3E42">
      <w:pPr>
        <w:jc w:val="center"/>
        <w:rPr>
          <w:b/>
          <w:bCs/>
          <w:sz w:val="24"/>
          <w:szCs w:val="24"/>
          <w:u w:val="single"/>
        </w:rPr>
      </w:pPr>
      <w:r w:rsidRPr="00AC3E42">
        <w:rPr>
          <w:b/>
          <w:bCs/>
          <w:sz w:val="24"/>
          <w:szCs w:val="24"/>
          <w:u w:val="single"/>
        </w:rPr>
        <w:t>Group name:</w:t>
      </w:r>
      <w:r w:rsidR="00775EF2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775EF2">
        <w:rPr>
          <w:b/>
          <w:bCs/>
          <w:sz w:val="24"/>
          <w:szCs w:val="24"/>
          <w:u w:val="single"/>
        </w:rPr>
        <w:t>AppTitude</w:t>
      </w:r>
      <w:proofErr w:type="spellEnd"/>
    </w:p>
    <w:p w14:paraId="76FCEAB1" w14:textId="171D2839" w:rsidR="008701A3" w:rsidRPr="00AC3E42" w:rsidRDefault="008701A3" w:rsidP="00AC3E4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Members (David Dingani-st10358804, </w:t>
      </w:r>
      <w:proofErr w:type="spellStart"/>
      <w:r>
        <w:rPr>
          <w:b/>
          <w:bCs/>
          <w:sz w:val="24"/>
          <w:szCs w:val="24"/>
          <w:u w:val="single"/>
        </w:rPr>
        <w:t>Cebo</w:t>
      </w:r>
      <w:proofErr w:type="spellEnd"/>
      <w:r>
        <w:rPr>
          <w:b/>
          <w:bCs/>
          <w:sz w:val="24"/>
          <w:szCs w:val="24"/>
          <w:u w:val="single"/>
        </w:rPr>
        <w:t xml:space="preserve"> Nyawo-st10293982, </w:t>
      </w:r>
      <w:proofErr w:type="spellStart"/>
      <w:r>
        <w:rPr>
          <w:b/>
          <w:bCs/>
          <w:sz w:val="24"/>
          <w:szCs w:val="24"/>
          <w:u w:val="single"/>
        </w:rPr>
        <w:t>Lethabo</w:t>
      </w:r>
      <w:proofErr w:type="spellEnd"/>
      <w:r>
        <w:rPr>
          <w:b/>
          <w:bCs/>
          <w:sz w:val="24"/>
          <w:szCs w:val="24"/>
          <w:u w:val="single"/>
        </w:rPr>
        <w:t xml:space="preserve"> Penniston-st10302369, Luke James Lutchmaih-st10288560 and </w:t>
      </w:r>
      <w:proofErr w:type="spellStart"/>
      <w:r>
        <w:rPr>
          <w:b/>
          <w:bCs/>
          <w:sz w:val="24"/>
          <w:szCs w:val="24"/>
          <w:u w:val="single"/>
        </w:rPr>
        <w:t>Okuhle</w:t>
      </w:r>
      <w:proofErr w:type="spellEnd"/>
      <w:r>
        <w:rPr>
          <w:b/>
          <w:bCs/>
          <w:sz w:val="24"/>
          <w:szCs w:val="24"/>
          <w:u w:val="single"/>
        </w:rPr>
        <w:t xml:space="preserve"> Nyawo-st10299658) </w:t>
      </w:r>
      <w:bookmarkStart w:id="0" w:name="_GoBack"/>
      <w:bookmarkEnd w:id="0"/>
    </w:p>
    <w:p w14:paraId="508AB4BB" w14:textId="50738F02" w:rsidR="00AC3E42" w:rsidRPr="00AC3E42" w:rsidRDefault="00AC3E42" w:rsidP="00AC3E42">
      <w:pPr>
        <w:jc w:val="center"/>
        <w:rPr>
          <w:b/>
          <w:bCs/>
          <w:sz w:val="24"/>
          <w:szCs w:val="24"/>
          <w:u w:val="single"/>
        </w:rPr>
      </w:pPr>
      <w:r w:rsidRPr="00AC3E42">
        <w:rPr>
          <w:b/>
          <w:bCs/>
          <w:sz w:val="24"/>
          <w:szCs w:val="24"/>
          <w:u w:val="single"/>
        </w:rPr>
        <w:t xml:space="preserve">Information System 3D </w:t>
      </w:r>
    </w:p>
    <w:p w14:paraId="7C4214EB" w14:textId="4592C6CB" w:rsidR="00AC3E42" w:rsidRPr="00AC3E42" w:rsidRDefault="00AC3E42" w:rsidP="00AC3E42">
      <w:pPr>
        <w:jc w:val="center"/>
        <w:rPr>
          <w:b/>
          <w:bCs/>
          <w:sz w:val="24"/>
          <w:szCs w:val="24"/>
          <w:u w:val="single"/>
        </w:rPr>
      </w:pPr>
      <w:r w:rsidRPr="00AC3E42">
        <w:rPr>
          <w:b/>
          <w:bCs/>
          <w:sz w:val="24"/>
          <w:szCs w:val="24"/>
          <w:u w:val="single"/>
        </w:rPr>
        <w:t>INSY7314</w:t>
      </w:r>
    </w:p>
    <w:p w14:paraId="2AE1256D" w14:textId="3B3649F5" w:rsidR="00AC3E42" w:rsidRDefault="00AC3E42" w:rsidP="00AC3E42">
      <w:pPr>
        <w:jc w:val="center"/>
        <w:rPr>
          <w:b/>
          <w:bCs/>
          <w:sz w:val="24"/>
          <w:szCs w:val="24"/>
          <w:u w:val="single"/>
        </w:rPr>
      </w:pPr>
      <w:r w:rsidRPr="00AC3E42">
        <w:rPr>
          <w:b/>
          <w:bCs/>
          <w:sz w:val="24"/>
          <w:szCs w:val="24"/>
          <w:u w:val="single"/>
        </w:rPr>
        <w:t>POE PART 1</w:t>
      </w:r>
    </w:p>
    <w:p w14:paraId="2CC0182B" w14:textId="042C9BDC" w:rsidR="00AC3E42" w:rsidRDefault="00AC3E42" w:rsidP="00AC3E42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E441F1B" wp14:editId="574EC6C7">
            <wp:extent cx="5965825" cy="5661650"/>
            <wp:effectExtent l="0" t="0" r="0" b="0"/>
            <wp:docPr id="1" name="Picture 1" descr="A person sitting at a desk with two computer scre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at a desk with two computer scree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66" cy="56670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E63F90D" w14:textId="6223A154" w:rsidR="00AC3E42" w:rsidRPr="00AC3E42" w:rsidRDefault="00AC3E42" w:rsidP="00AC3E42">
      <w:pPr>
        <w:rPr>
          <w:sz w:val="24"/>
          <w:szCs w:val="24"/>
        </w:rPr>
      </w:pPr>
    </w:p>
    <w:p w14:paraId="0BF0F91F" w14:textId="3691D96D" w:rsidR="00AC3E42" w:rsidRPr="00AC3E42" w:rsidRDefault="00AC3E42" w:rsidP="00AC3E42">
      <w:pPr>
        <w:rPr>
          <w:sz w:val="24"/>
          <w:szCs w:val="24"/>
        </w:rPr>
      </w:pPr>
    </w:p>
    <w:p w14:paraId="144F0929" w14:textId="371F2636" w:rsidR="00AC3E42" w:rsidRPr="00AC3E42" w:rsidRDefault="00AC3E42" w:rsidP="00AC3E42">
      <w:pPr>
        <w:rPr>
          <w:sz w:val="24"/>
          <w:szCs w:val="24"/>
        </w:rPr>
      </w:pPr>
    </w:p>
    <w:p w14:paraId="4109C7EC" w14:textId="2F478E90" w:rsidR="00AC3E42" w:rsidRDefault="00AC3E42" w:rsidP="00AC3E42">
      <w:pPr>
        <w:jc w:val="right"/>
        <w:rPr>
          <w:sz w:val="24"/>
          <w:szCs w:val="24"/>
        </w:rPr>
      </w:pPr>
    </w:p>
    <w:p w14:paraId="6734FE61" w14:textId="770FC7CB" w:rsidR="00AC3E42" w:rsidRDefault="00AC3E42" w:rsidP="00AC3E42">
      <w:pPr>
        <w:jc w:val="right"/>
        <w:rPr>
          <w:sz w:val="24"/>
          <w:szCs w:val="24"/>
        </w:rPr>
      </w:pPr>
    </w:p>
    <w:p w14:paraId="79479C1F" w14:textId="4B3D5150" w:rsidR="00AC3E42" w:rsidRDefault="00AC3E42" w:rsidP="00AC3E42">
      <w:pPr>
        <w:jc w:val="right"/>
        <w:rPr>
          <w:sz w:val="24"/>
          <w:szCs w:val="24"/>
        </w:rPr>
      </w:pPr>
    </w:p>
    <w:p w14:paraId="1DEE9686" w14:textId="15973232" w:rsidR="00911D91" w:rsidRDefault="00911D91" w:rsidP="00911D9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1:</w:t>
      </w:r>
    </w:p>
    <w:p w14:paraId="77CEECEE" w14:textId="58D28AED" w:rsidR="00775EF2" w:rsidRDefault="00911D91" w:rsidP="00775EF2">
      <w:pPr>
        <w:jc w:val="center"/>
        <w:rPr>
          <w:b/>
          <w:bCs/>
          <w:u w:val="single"/>
        </w:rPr>
      </w:pPr>
      <w:r w:rsidRPr="00911D91">
        <w:rPr>
          <w:b/>
          <w:bCs/>
          <w:u w:val="single"/>
        </w:rPr>
        <w:t>International Payments Portal — Security Architecture &amp; Test Plan:</w:t>
      </w:r>
    </w:p>
    <w:p w14:paraId="20288E53" w14:textId="77777777" w:rsidR="00056CB1" w:rsidRDefault="00056CB1" w:rsidP="00775EF2">
      <w:pPr>
        <w:jc w:val="center"/>
        <w:rPr>
          <w:b/>
          <w:bCs/>
          <w:u w:val="single"/>
        </w:rPr>
      </w:pPr>
    </w:p>
    <w:p w14:paraId="0FC4A65D" w14:textId="77777777" w:rsidR="00CF6D71" w:rsidRPr="00CF6D71" w:rsidRDefault="00DF2085" w:rsidP="00CF6D71">
      <w:pPr>
        <w:pStyle w:val="NormalWeb"/>
        <w:rPr>
          <w:rFonts w:asciiTheme="minorHAnsi" w:hAnsiTheme="minorHAnsi" w:cstheme="minorHAnsi"/>
        </w:rPr>
      </w:pPr>
      <w:r w:rsidRPr="00DF2085">
        <w:rPr>
          <w:rFonts w:asciiTheme="minorHAnsi" w:hAnsiTheme="minorHAnsi" w:cstheme="minorHAnsi"/>
          <w:b/>
          <w:bCs/>
          <w:kern w:val="36"/>
        </w:rPr>
        <w:t>Introduction</w:t>
      </w:r>
      <w:proofErr w:type="gramStart"/>
      <w:r w:rsidR="00775EF2" w:rsidRPr="00CF6D71">
        <w:rPr>
          <w:rFonts w:asciiTheme="minorHAnsi" w:hAnsiTheme="minorHAnsi" w:cstheme="minorHAnsi"/>
          <w:b/>
          <w:bCs/>
          <w:kern w:val="36"/>
        </w:rPr>
        <w:t>:</w:t>
      </w:r>
      <w:proofErr w:type="gramEnd"/>
      <w:r w:rsidR="00056CB1" w:rsidRPr="00056CB1">
        <w:rPr>
          <w:rFonts w:asciiTheme="minorHAnsi" w:hAnsiTheme="minorHAnsi" w:cstheme="minorHAnsi"/>
        </w:rPr>
        <w:br/>
      </w:r>
      <w:r w:rsidR="00CF6D71" w:rsidRPr="00CF6D71">
        <w:rPr>
          <w:rFonts w:asciiTheme="minorHAnsi" w:hAnsiTheme="minorHAnsi" w:cstheme="minorHAnsi"/>
        </w:rPr>
        <w:t xml:space="preserve">This report presents the security architecture and testing approach for an International Payments Portal developed for a commercial bank. The portal enables retail customers to register and initiate international payments from online banking and allows pre-registered bank employees to verify payee details and submit transactions to SWIFT. </w:t>
      </w:r>
      <w:proofErr w:type="gramStart"/>
      <w:r w:rsidR="00CF6D71" w:rsidRPr="00CF6D71">
        <w:rPr>
          <w:rFonts w:asciiTheme="minorHAnsi" w:hAnsiTheme="minorHAnsi" w:cstheme="minorHAnsi"/>
        </w:rPr>
        <w:t>Because the solution processes highly sensitive data (ID numbers, account numbers, authentication secrets, payment instructions), it must be secure by design and verifiable through rigorous testing.</w:t>
      </w:r>
      <w:proofErr w:type="gramEnd"/>
      <w:r w:rsidR="00CF6D71" w:rsidRPr="00CF6D71">
        <w:rPr>
          <w:rFonts w:asciiTheme="minorHAnsi" w:hAnsiTheme="minorHAnsi" w:cstheme="minorHAnsi"/>
        </w:rPr>
        <w:t xml:space="preserve"> </w:t>
      </w:r>
      <w:proofErr w:type="gramStart"/>
      <w:r w:rsidR="00CF6D71" w:rsidRPr="00CF6D71">
        <w:rPr>
          <w:rFonts w:asciiTheme="minorHAnsi" w:hAnsiTheme="minorHAnsi" w:cstheme="minorHAnsi"/>
        </w:rPr>
        <w:t>(SWIFT, 2023; ISO/IEC, 2022; OWASP Foundation, 2021; NIST, 2020).</w:t>
      </w:r>
      <w:proofErr w:type="gramEnd"/>
    </w:p>
    <w:p w14:paraId="062EFD54" w14:textId="613A034F" w:rsidR="00CF6D71" w:rsidRPr="00CF6D71" w:rsidRDefault="00CF6D71" w:rsidP="00CF6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proofErr w:type="gramStart"/>
      <w:r w:rsidRPr="00CF6D71">
        <w:rPr>
          <w:rFonts w:eastAsia="Times New Roman" w:cstheme="minorHAnsi"/>
          <w:b/>
          <w:bCs/>
          <w:sz w:val="24"/>
          <w:szCs w:val="24"/>
          <w:lang w:eastAsia="en-ZA"/>
        </w:rPr>
        <w:t>Problem statement.</w:t>
      </w:r>
      <w:proofErr w:type="gramEnd"/>
      <w:r w:rsidRPr="00CF6D71">
        <w:rPr>
          <w:rFonts w:eastAsia="Times New Roman" w:cstheme="minorHAnsi"/>
          <w:sz w:val="24"/>
          <w:szCs w:val="24"/>
          <w:lang w:eastAsia="en-ZA"/>
        </w:rPr>
        <w:br/>
        <w:t xml:space="preserve">We must design a web system that protects customer data and payment integrity from the moment a user signs in, through payment creation, employee verification, and final submission to SWIFT, while remaining usable and highly available. The system must resist common web threats (session hijacking, 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clickjacking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 xml:space="preserve">, 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SQLi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 xml:space="preserve">, XSS, Man-in-the-Middle, and 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DDoS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 xml:space="preserve">) and produce a complete, tamper-evident audit trail suitable for banking compliance. </w:t>
      </w:r>
    </w:p>
    <w:p w14:paraId="53B93430" w14:textId="77777777" w:rsidR="00CF6D71" w:rsidRPr="00CF6D71" w:rsidRDefault="00CF6D71" w:rsidP="00CF6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proofErr w:type="gramStart"/>
      <w:r w:rsidRPr="00CF6D71">
        <w:rPr>
          <w:rFonts w:eastAsia="Times New Roman" w:cstheme="minorHAnsi"/>
          <w:b/>
          <w:bCs/>
          <w:sz w:val="24"/>
          <w:szCs w:val="24"/>
          <w:lang w:eastAsia="en-ZA"/>
        </w:rPr>
        <w:t>Security objectives.</w:t>
      </w:r>
      <w:proofErr w:type="gramEnd"/>
      <w:r w:rsidRPr="00CF6D71">
        <w:rPr>
          <w:rFonts w:eastAsia="Times New Roman" w:cstheme="minorHAnsi"/>
          <w:sz w:val="24"/>
          <w:szCs w:val="24"/>
          <w:lang w:eastAsia="en-ZA"/>
        </w:rPr>
        <w:br/>
        <w:t>• Confidentiality of PII and account data (encryption in transit and at rest).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Integrity of transactions (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idempotency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, maker/checker, signed audit events).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 xml:space="preserve">• Availability under normal and peak loads (WAF/CDN protection and 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autoscaling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).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Authentication &amp; authorization with MFA, least privilege, and role separation.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Non-repudiation &amp; auditability via immutable logs and traceable approvals.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</w:r>
      <w:proofErr w:type="gramStart"/>
      <w:r w:rsidRPr="00CF6D71">
        <w:rPr>
          <w:rFonts w:eastAsia="Times New Roman" w:cstheme="minorHAnsi"/>
          <w:sz w:val="24"/>
          <w:szCs w:val="24"/>
          <w:lang w:eastAsia="en-ZA"/>
        </w:rPr>
        <w:t>(IETF, 2018; ISO/IEC, 2022; NIST, 2020; SWIFT, 2023; NIST, 2006).</w:t>
      </w:r>
      <w:proofErr w:type="gramEnd"/>
    </w:p>
    <w:p w14:paraId="6C49942F" w14:textId="77777777" w:rsidR="00A2538F" w:rsidRPr="00A2538F" w:rsidRDefault="00CF6D71" w:rsidP="00A2538F">
      <w:pPr>
        <w:pStyle w:val="NormalWeb"/>
        <w:rPr>
          <w:rFonts w:asciiTheme="minorHAnsi" w:hAnsiTheme="minorHAnsi" w:cstheme="minorHAnsi"/>
          <w:b/>
          <w:bCs/>
        </w:rPr>
      </w:pPr>
      <w:r w:rsidRPr="00CF6D71">
        <w:rPr>
          <w:rFonts w:asciiTheme="minorHAnsi" w:hAnsiTheme="minorHAnsi" w:cstheme="minorHAnsi"/>
          <w:b/>
          <w:bCs/>
        </w:rPr>
        <w:t>Design principles.</w:t>
      </w:r>
    </w:p>
    <w:p w14:paraId="21A06224" w14:textId="6B71EFC8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Layered security (</w:t>
      </w:r>
      <w:proofErr w:type="spellStart"/>
      <w:r w:rsidRPr="00A2538F">
        <w:rPr>
          <w:rStyle w:val="Strong"/>
          <w:rFonts w:asciiTheme="minorHAnsi" w:hAnsiTheme="minorHAnsi" w:cstheme="minorHAnsi"/>
          <w:b w:val="0"/>
          <w:bCs w:val="0"/>
        </w:rPr>
        <w:t>defense</w:t>
      </w:r>
      <w:proofErr w:type="spellEnd"/>
      <w:r w:rsidRPr="00A2538F">
        <w:rPr>
          <w:rStyle w:val="Strong"/>
          <w:rFonts w:asciiTheme="minorHAnsi" w:hAnsiTheme="minorHAnsi" w:cstheme="minorHAnsi"/>
          <w:b w:val="0"/>
          <w:bCs w:val="0"/>
        </w:rPr>
        <w:t>-in-depth).</w:t>
      </w:r>
      <w:r w:rsidRPr="00A2538F">
        <w:rPr>
          <w:rFonts w:asciiTheme="minorHAnsi" w:hAnsiTheme="minorHAnsi" w:cstheme="minorHAnsi"/>
        </w:rPr>
        <w:br/>
        <w:t xml:space="preserve">Four tiers with clear trust boundaries: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Internet → DMZ → Application tier → Data &amp; Integration</w:t>
      </w:r>
      <w:r w:rsidRPr="00A2538F">
        <w:rPr>
          <w:rFonts w:asciiTheme="minorHAnsi" w:hAnsiTheme="minorHAnsi" w:cstheme="minorHAnsi"/>
        </w:rPr>
        <w:t>.</w:t>
      </w:r>
    </w:p>
    <w:p w14:paraId="0F5E6505" w14:textId="0D08B54F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Zero-trust segmentation.</w:t>
      </w:r>
      <w:r w:rsidRPr="00A2538F">
        <w:rPr>
          <w:rFonts w:asciiTheme="minorHAnsi" w:hAnsiTheme="minorHAnsi" w:cstheme="minorHAnsi"/>
        </w:rPr>
        <w:br/>
        <w:t xml:space="preserve">Default-deny between services; authenticated, authorized, and encrypted calls only; </w:t>
      </w:r>
      <w:proofErr w:type="spellStart"/>
      <w:r w:rsidRPr="00A2538F">
        <w:rPr>
          <w:rStyle w:val="Strong"/>
          <w:rFonts w:asciiTheme="minorHAnsi" w:hAnsiTheme="minorHAnsi" w:cstheme="minorHAnsi"/>
          <w:b w:val="0"/>
          <w:bCs w:val="0"/>
        </w:rPr>
        <w:t>mTLS</w:t>
      </w:r>
      <w:proofErr w:type="spellEnd"/>
      <w:r w:rsidRPr="00A2538F">
        <w:rPr>
          <w:rFonts w:asciiTheme="minorHAnsi" w:hAnsiTheme="minorHAnsi" w:cstheme="minorHAnsi"/>
        </w:rPr>
        <w:t xml:space="preserve"> for all service-to-service traffic.</w:t>
      </w:r>
    </w:p>
    <w:p w14:paraId="33563647" w14:textId="77777777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Edge protection.</w:t>
      </w:r>
      <w:r w:rsidRPr="00A2538F">
        <w:rPr>
          <w:rFonts w:asciiTheme="minorHAnsi" w:hAnsiTheme="minorHAnsi" w:cstheme="minorHAnsi"/>
        </w:rPr>
        <w:br/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WAF</w:t>
      </w:r>
      <w:r w:rsidRPr="00A2538F">
        <w:rPr>
          <w:rFonts w:asciiTheme="minorHAnsi" w:hAnsiTheme="minorHAnsi" w:cstheme="minorHAnsi"/>
        </w:rPr>
        <w:t xml:space="preserve"> in front of the web tier; browser-side hardening with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CSP</w:t>
      </w:r>
      <w:r w:rsidRPr="00A2538F">
        <w:rPr>
          <w:rFonts w:asciiTheme="minorHAnsi" w:hAnsiTheme="minorHAnsi" w:cstheme="minorHAnsi"/>
        </w:rPr>
        <w:t xml:space="preserve">; anti-forgery protection via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CSRF tokens</w:t>
      </w:r>
      <w:r w:rsidRPr="00A2538F">
        <w:rPr>
          <w:rFonts w:asciiTheme="minorHAnsi" w:hAnsiTheme="minorHAnsi" w:cstheme="minorHAnsi"/>
        </w:rPr>
        <w:t>.</w:t>
      </w:r>
    </w:p>
    <w:p w14:paraId="0D6D03E2" w14:textId="77777777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Identity &amp; sessions.</w:t>
      </w:r>
      <w:r w:rsidRPr="00A2538F">
        <w:rPr>
          <w:rFonts w:asciiTheme="minorHAnsi" w:hAnsiTheme="minorHAnsi" w:cstheme="minorHAnsi"/>
        </w:rPr>
        <w:br/>
        <w:t xml:space="preserve">Centralized </w:t>
      </w:r>
      <w:proofErr w:type="spellStart"/>
      <w:r w:rsidRPr="00A2538F">
        <w:rPr>
          <w:rFonts w:asciiTheme="minorHAnsi" w:hAnsiTheme="minorHAnsi" w:cstheme="minorHAnsi"/>
        </w:rPr>
        <w:t>auth</w:t>
      </w:r>
      <w:proofErr w:type="spellEnd"/>
      <w:r w:rsidRPr="00A2538F">
        <w:rPr>
          <w:rFonts w:asciiTheme="minorHAnsi" w:hAnsiTheme="minorHAnsi" w:cstheme="minorHAnsi"/>
        </w:rPr>
        <w:t xml:space="preserve"> using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OIDC with PKCE</w:t>
      </w:r>
      <w:r w:rsidRPr="00A2538F">
        <w:rPr>
          <w:rFonts w:asciiTheme="minorHAnsi" w:hAnsiTheme="minorHAnsi" w:cstheme="minorHAnsi"/>
        </w:rPr>
        <w:t xml:space="preserve">; MFA enforced; short-lived, </w:t>
      </w:r>
      <w:proofErr w:type="spellStart"/>
      <w:r w:rsidRPr="00A2538F">
        <w:rPr>
          <w:rFonts w:asciiTheme="minorHAnsi" w:hAnsiTheme="minorHAnsi" w:cstheme="minorHAnsi"/>
        </w:rPr>
        <w:t>HttpOnly</w:t>
      </w:r>
      <w:proofErr w:type="spellEnd"/>
      <w:r w:rsidRPr="00A2538F">
        <w:rPr>
          <w:rFonts w:asciiTheme="minorHAnsi" w:hAnsiTheme="minorHAnsi" w:cstheme="minorHAnsi"/>
        </w:rPr>
        <w:t>/Secure cookies; server-side session controls.</w:t>
      </w:r>
    </w:p>
    <w:p w14:paraId="2A3AB085" w14:textId="77777777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lastRenderedPageBreak/>
        <w:t>Data protection by design.</w:t>
      </w:r>
      <w:r w:rsidRPr="00A2538F">
        <w:rPr>
          <w:rFonts w:asciiTheme="minorHAnsi" w:hAnsiTheme="minorHAnsi" w:cstheme="minorHAnsi"/>
        </w:rPr>
        <w:br/>
        <w:t xml:space="preserve">Sensitive fields are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minimized, validated, and encrypted per column</w:t>
      </w:r>
      <w:r w:rsidRPr="00A2538F">
        <w:rPr>
          <w:rFonts w:asciiTheme="minorHAnsi" w:hAnsiTheme="minorHAnsi" w:cstheme="minorHAnsi"/>
        </w:rPr>
        <w:t xml:space="preserve">; keys held in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KMS/HSM</w:t>
      </w:r>
      <w:r w:rsidRPr="00A2538F">
        <w:rPr>
          <w:rFonts w:asciiTheme="minorHAnsi" w:hAnsiTheme="minorHAnsi" w:cstheme="minorHAnsi"/>
        </w:rPr>
        <w:t>; encryption in transit and at rest.</w:t>
      </w:r>
    </w:p>
    <w:p w14:paraId="2892B9BB" w14:textId="77777777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Secrets &amp; key management.</w:t>
      </w:r>
      <w:r w:rsidRPr="00A2538F">
        <w:rPr>
          <w:rFonts w:asciiTheme="minorHAnsi" w:hAnsiTheme="minorHAnsi" w:cstheme="minorHAnsi"/>
        </w:rPr>
        <w:br/>
        <w:t xml:space="preserve">Secrets managed centrally (no secrets in code/CI); rotation policies governed by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KMS/HSM</w:t>
      </w:r>
      <w:r w:rsidRPr="00A2538F">
        <w:rPr>
          <w:rFonts w:asciiTheme="minorHAnsi" w:hAnsiTheme="minorHAnsi" w:cstheme="minorHAnsi"/>
        </w:rPr>
        <w:t>.</w:t>
      </w:r>
    </w:p>
    <w:p w14:paraId="1FEC057D" w14:textId="77777777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Authorization &amp; duty separation.</w:t>
      </w:r>
      <w:r w:rsidRPr="00A2538F">
        <w:rPr>
          <w:rFonts w:asciiTheme="minorHAnsi" w:hAnsiTheme="minorHAnsi" w:cstheme="minorHAnsi"/>
        </w:rPr>
        <w:br/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RBAC</w:t>
      </w:r>
      <w:r w:rsidRPr="00A2538F">
        <w:rPr>
          <w:rFonts w:asciiTheme="minorHAnsi" w:hAnsiTheme="minorHAnsi" w:cstheme="minorHAnsi"/>
        </w:rPr>
        <w:t xml:space="preserve"> throughout the stack; critical payment actions use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maker/checker</w:t>
      </w:r>
      <w:r w:rsidRPr="00A2538F">
        <w:rPr>
          <w:rFonts w:asciiTheme="minorHAnsi" w:hAnsiTheme="minorHAnsi" w:cstheme="minorHAnsi"/>
        </w:rPr>
        <w:t xml:space="preserve"> (</w:t>
      </w:r>
      <w:proofErr w:type="gramStart"/>
      <w:r w:rsidRPr="00A2538F">
        <w:rPr>
          <w:rFonts w:asciiTheme="minorHAnsi" w:hAnsiTheme="minorHAnsi" w:cstheme="minorHAnsi"/>
        </w:rPr>
        <w:t>four-eyes</w:t>
      </w:r>
      <w:proofErr w:type="gramEnd"/>
      <w:r w:rsidRPr="00A2538F">
        <w:rPr>
          <w:rFonts w:asciiTheme="minorHAnsi" w:hAnsiTheme="minorHAnsi" w:cstheme="minorHAnsi"/>
        </w:rPr>
        <w:t>) control.</w:t>
      </w:r>
    </w:p>
    <w:p w14:paraId="3C9B5BFC" w14:textId="77777777" w:rsidR="00A2538F" w:rsidRPr="00A2538F" w:rsidRDefault="00A2538F" w:rsidP="00A2538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2538F">
        <w:rPr>
          <w:rStyle w:val="Strong"/>
          <w:rFonts w:asciiTheme="minorHAnsi" w:hAnsiTheme="minorHAnsi" w:cstheme="minorHAnsi"/>
          <w:b w:val="0"/>
          <w:bCs w:val="0"/>
        </w:rPr>
        <w:t>Auditability &amp; accountability.</w:t>
      </w:r>
      <w:r w:rsidRPr="00A2538F">
        <w:rPr>
          <w:rFonts w:asciiTheme="minorHAnsi" w:hAnsiTheme="minorHAnsi" w:cstheme="minorHAnsi"/>
        </w:rPr>
        <w:br/>
        <w:t xml:space="preserve">All state-changing events are </w:t>
      </w:r>
      <w:r w:rsidRPr="00A2538F">
        <w:rPr>
          <w:rStyle w:val="Strong"/>
          <w:rFonts w:asciiTheme="minorHAnsi" w:hAnsiTheme="minorHAnsi" w:cstheme="minorHAnsi"/>
          <w:b w:val="0"/>
          <w:bCs w:val="0"/>
        </w:rPr>
        <w:t>logged immutably</w:t>
      </w:r>
      <w:r w:rsidRPr="00A2538F">
        <w:rPr>
          <w:rFonts w:asciiTheme="minorHAnsi" w:hAnsiTheme="minorHAnsi" w:cstheme="minorHAnsi"/>
        </w:rPr>
        <w:t xml:space="preserve"> for traceability and compliance.</w:t>
      </w:r>
    </w:p>
    <w:p w14:paraId="2F24A8A4" w14:textId="77777777" w:rsidR="00A2538F" w:rsidRPr="00A2538F" w:rsidRDefault="00A2538F" w:rsidP="00A2538F">
      <w:pPr>
        <w:pStyle w:val="NormalWeb"/>
        <w:rPr>
          <w:rFonts w:asciiTheme="minorHAnsi" w:hAnsiTheme="minorHAnsi" w:cstheme="minorHAnsi"/>
        </w:rPr>
      </w:pPr>
      <w:r w:rsidRPr="00A2538F">
        <w:rPr>
          <w:rStyle w:val="Emphasis"/>
          <w:rFonts w:asciiTheme="minorHAnsi" w:eastAsiaTheme="majorEastAsia" w:hAnsiTheme="minorHAnsi" w:cstheme="minorHAnsi"/>
          <w:i w:val="0"/>
          <w:iCs w:val="0"/>
        </w:rPr>
        <w:t xml:space="preserve">(NIST, 2020; W3C, 2021; IETF, 2018; </w:t>
      </w:r>
      <w:proofErr w:type="spellStart"/>
      <w:r w:rsidRPr="00A2538F">
        <w:rPr>
          <w:rStyle w:val="Emphasis"/>
          <w:rFonts w:asciiTheme="minorHAnsi" w:eastAsiaTheme="majorEastAsia" w:hAnsiTheme="minorHAnsi" w:cstheme="minorHAnsi"/>
          <w:i w:val="0"/>
          <w:iCs w:val="0"/>
        </w:rPr>
        <w:t>OpenID</w:t>
      </w:r>
      <w:proofErr w:type="spellEnd"/>
      <w:r w:rsidRPr="00A2538F">
        <w:rPr>
          <w:rStyle w:val="Emphasis"/>
          <w:rFonts w:asciiTheme="minorHAnsi" w:eastAsiaTheme="majorEastAsia" w:hAnsiTheme="minorHAnsi" w:cstheme="minorHAnsi"/>
          <w:i w:val="0"/>
          <w:iCs w:val="0"/>
        </w:rPr>
        <w:t xml:space="preserve"> Foundation, 2014 (errata set 2021); OWASP Foundation, 2021; SWIFT, 2023; ISO/IEC, 2022).</w:t>
      </w:r>
    </w:p>
    <w:p w14:paraId="031409E1" w14:textId="2C666A1B" w:rsidR="00CF6D71" w:rsidRPr="00CF6D71" w:rsidRDefault="00CF6D71" w:rsidP="00CF6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32CBBA8E" w14:textId="77777777" w:rsidR="00CF6D71" w:rsidRPr="00CF6D71" w:rsidRDefault="00CF6D71" w:rsidP="00CF6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proofErr w:type="gramStart"/>
      <w:r w:rsidRPr="00CF6D71">
        <w:rPr>
          <w:rFonts w:eastAsia="Times New Roman" w:cstheme="minorHAnsi"/>
          <w:b/>
          <w:bCs/>
          <w:sz w:val="24"/>
          <w:szCs w:val="24"/>
          <w:lang w:eastAsia="en-ZA"/>
        </w:rPr>
        <w:t>Scope &amp; assumptions.</w:t>
      </w:r>
      <w:proofErr w:type="gramEnd"/>
      <w:r w:rsidRPr="00CF6D71">
        <w:rPr>
          <w:rFonts w:eastAsia="Times New Roman" w:cstheme="minorHAnsi"/>
          <w:sz w:val="24"/>
          <w:szCs w:val="24"/>
          <w:lang w:eastAsia="en-ZA"/>
        </w:rPr>
        <w:br/>
        <w:t xml:space="preserve">The portal is web-based (with optional mobile access), employees are provisioned by HR/IT, and SWIFT submission occurs through a secure connector in a restricted network segment. Regulatory alignment (e.g., POPIA and banking security standards) is assumed; cardholder data is out of scope unless explicitly stated. </w:t>
      </w:r>
      <w:proofErr w:type="gramStart"/>
      <w:r w:rsidRPr="00CF6D71">
        <w:rPr>
          <w:rFonts w:eastAsia="Times New Roman" w:cstheme="minorHAnsi"/>
          <w:sz w:val="24"/>
          <w:szCs w:val="24"/>
          <w:lang w:eastAsia="en-ZA"/>
        </w:rPr>
        <w:t>(SWIFT, 2023; Republic of South Africa, 2013; ISO/IEC, 2022).</w:t>
      </w:r>
      <w:proofErr w:type="gramEnd"/>
    </w:p>
    <w:p w14:paraId="4CC0ADCF" w14:textId="77777777" w:rsidR="00CF6D71" w:rsidRPr="00CF6D71" w:rsidRDefault="00CF6D71" w:rsidP="00CF6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proofErr w:type="gramStart"/>
      <w:r w:rsidRPr="00CF6D71">
        <w:rPr>
          <w:rFonts w:eastAsia="Times New Roman" w:cstheme="minorHAnsi"/>
          <w:b/>
          <w:bCs/>
          <w:sz w:val="24"/>
          <w:szCs w:val="24"/>
          <w:lang w:eastAsia="en-ZA"/>
        </w:rPr>
        <w:t>Testing methodology.</w:t>
      </w:r>
      <w:proofErr w:type="gramEnd"/>
      <w:r w:rsidRPr="00CF6D71">
        <w:rPr>
          <w:rFonts w:eastAsia="Times New Roman" w:cstheme="minorHAnsi"/>
          <w:sz w:val="24"/>
          <w:szCs w:val="24"/>
          <w:lang w:eastAsia="en-ZA"/>
        </w:rPr>
        <w:br/>
        <w:t>Security is enforced in code and verified continuously</w:t>
      </w:r>
      <w:proofErr w:type="gramStart"/>
      <w:r w:rsidRPr="00CF6D71">
        <w:rPr>
          <w:rFonts w:eastAsia="Times New Roman" w:cstheme="minorHAnsi"/>
          <w:sz w:val="24"/>
          <w:szCs w:val="24"/>
          <w:lang w:eastAsia="en-ZA"/>
        </w:rPr>
        <w:t>:</w:t>
      </w:r>
      <w:proofErr w:type="gramEnd"/>
      <w:r w:rsidRPr="00CF6D71">
        <w:rPr>
          <w:rFonts w:eastAsia="Times New Roman" w:cstheme="minorHAnsi"/>
          <w:sz w:val="24"/>
          <w:szCs w:val="24"/>
          <w:lang w:eastAsia="en-ZA"/>
        </w:rPr>
        <w:br/>
        <w:t>• SAST (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SonarQube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) and dependency/image scans in CI.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DAST (OWASP ZAP) against an authenticated staging environment.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Cloud posture assessment (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ScoutSuite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) for misconfigurations.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Mobile hardening checks (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MobSF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) if a mobile client is used.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  <w:t>• Evidence is captured via quality gates, scan reports, and load-test results.</w:t>
      </w:r>
      <w:r w:rsidRPr="00CF6D71">
        <w:rPr>
          <w:rFonts w:eastAsia="Times New Roman" w:cstheme="minorHAnsi"/>
          <w:sz w:val="24"/>
          <w:szCs w:val="24"/>
          <w:lang w:eastAsia="en-ZA"/>
        </w:rPr>
        <w:br/>
      </w:r>
      <w:proofErr w:type="gramStart"/>
      <w:r w:rsidRPr="00CF6D71">
        <w:rPr>
          <w:rFonts w:eastAsia="Times New Roman" w:cstheme="minorHAnsi"/>
          <w:sz w:val="24"/>
          <w:szCs w:val="24"/>
          <w:lang w:eastAsia="en-ZA"/>
        </w:rPr>
        <w:t>(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SonarSource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, 2025; OWASP Foundation, 2025; NCC Group, 2024; Mobile Security Framework (</w:t>
      </w:r>
      <w:proofErr w:type="spellStart"/>
      <w:r w:rsidRPr="00CF6D71">
        <w:rPr>
          <w:rFonts w:eastAsia="Times New Roman" w:cstheme="minorHAnsi"/>
          <w:sz w:val="24"/>
          <w:szCs w:val="24"/>
          <w:lang w:eastAsia="en-ZA"/>
        </w:rPr>
        <w:t>MobSF</w:t>
      </w:r>
      <w:proofErr w:type="spellEnd"/>
      <w:r w:rsidRPr="00CF6D71">
        <w:rPr>
          <w:rFonts w:eastAsia="Times New Roman" w:cstheme="minorHAnsi"/>
          <w:sz w:val="24"/>
          <w:szCs w:val="24"/>
          <w:lang w:eastAsia="en-ZA"/>
        </w:rPr>
        <w:t>), 2025; Aqua Security, 2025; ISO/IEC, 2022; NIST, 2020).</w:t>
      </w:r>
      <w:proofErr w:type="gramEnd"/>
    </w:p>
    <w:p w14:paraId="16D8AEFA" w14:textId="77777777" w:rsidR="00CF6D71" w:rsidRPr="00CF6D71" w:rsidRDefault="00CF6D71" w:rsidP="00CF6D7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CF6D71">
        <w:rPr>
          <w:rFonts w:eastAsia="Times New Roman" w:cstheme="minorHAnsi"/>
          <w:sz w:val="24"/>
          <w:szCs w:val="24"/>
          <w:lang w:eastAsia="en-ZA"/>
        </w:rPr>
        <w:t xml:space="preserve">The following pages provide: (1) a layered Security Architecture diagram, (2) an end-to-end Sequence Diagram (login → verification → SWIFT submission), and (3) a one-page Controls vs. Threats matrix that maps each risk to the concrete controls and test evidence used to validate them. </w:t>
      </w:r>
      <w:proofErr w:type="gramStart"/>
      <w:r w:rsidRPr="00CF6D71">
        <w:rPr>
          <w:rFonts w:eastAsia="Times New Roman" w:cstheme="minorHAnsi"/>
          <w:sz w:val="24"/>
          <w:szCs w:val="24"/>
          <w:lang w:eastAsia="en-ZA"/>
        </w:rPr>
        <w:t>(OWASP Foundation, 2021; NIST, 2020; SWIFT, 2023).</w:t>
      </w:r>
      <w:proofErr w:type="gramEnd"/>
    </w:p>
    <w:p w14:paraId="2F271D10" w14:textId="11BD58F5" w:rsidR="00FC76A0" w:rsidRPr="00FC76A0" w:rsidRDefault="00FC76A0" w:rsidP="00CF6D71">
      <w:pPr>
        <w:rPr>
          <w:rFonts w:eastAsia="Times New Roman" w:cstheme="minorHAnsi"/>
          <w:sz w:val="24"/>
          <w:szCs w:val="24"/>
          <w:lang w:eastAsia="en-ZA"/>
        </w:rPr>
      </w:pPr>
    </w:p>
    <w:p w14:paraId="55443303" w14:textId="1DFFA0EE" w:rsidR="00911D91" w:rsidRDefault="000630FE" w:rsidP="00911D91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7B0E27F" wp14:editId="3B2538C5">
            <wp:extent cx="5731510" cy="4007485"/>
            <wp:effectExtent l="0" t="0" r="2540" b="0"/>
            <wp:docPr id="2" name="Picture 2" descr="A diagram of a security archite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ecurity architectu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940" w14:textId="3F016901" w:rsidR="000630FE" w:rsidRDefault="000630FE" w:rsidP="00911D91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D6A5FC7" wp14:editId="7E409B92">
            <wp:extent cx="5731510" cy="3445510"/>
            <wp:effectExtent l="0" t="0" r="2540" b="2540"/>
            <wp:docPr id="3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1DEF" w14:textId="35573A1C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6E5D074E" w14:textId="01EE31F4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29FEFF6F" w14:textId="6368105D" w:rsidR="00DF2085" w:rsidRDefault="00DF2085" w:rsidP="00911D91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A5A89A1" wp14:editId="0F664066">
            <wp:extent cx="5731510" cy="6167120"/>
            <wp:effectExtent l="0" t="0" r="2540" b="5080"/>
            <wp:docPr id="4" name="Picture 4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ocum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B98C" w14:textId="670F7D83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584F0459" w14:textId="6A66AA8A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7FA952A9" w14:textId="1DD51821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130B71D9" w14:textId="391B4CBA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675B4C91" w14:textId="34953E14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5C7B5237" w14:textId="5FAF8B35" w:rsidR="00DF2085" w:rsidRDefault="00DF2085" w:rsidP="00911D91">
      <w:pPr>
        <w:rPr>
          <w:b/>
          <w:bCs/>
          <w:sz w:val="24"/>
          <w:szCs w:val="24"/>
          <w:u w:val="single"/>
        </w:rPr>
      </w:pPr>
    </w:p>
    <w:p w14:paraId="6C7C68D0" w14:textId="77777777" w:rsidR="00056CB1" w:rsidRDefault="00056CB1" w:rsidP="00911D91">
      <w:pPr>
        <w:rPr>
          <w:b/>
          <w:bCs/>
          <w:sz w:val="24"/>
          <w:szCs w:val="24"/>
          <w:u w:val="single"/>
        </w:rPr>
      </w:pPr>
    </w:p>
    <w:p w14:paraId="18673769" w14:textId="0783CF6A" w:rsidR="00952753" w:rsidRPr="005C376C" w:rsidRDefault="00952753" w:rsidP="00952753">
      <w:pPr>
        <w:pStyle w:val="Heading3"/>
        <w:rPr>
          <w:rFonts w:ascii="Calibri" w:hAnsi="Calibri" w:cs="Calibri"/>
        </w:rPr>
      </w:pPr>
      <w:r w:rsidRPr="005C376C">
        <w:rPr>
          <w:rStyle w:val="Strong"/>
          <w:rFonts w:ascii="Calibri" w:hAnsi="Calibri" w:cs="Calibri"/>
        </w:rPr>
        <w:lastRenderedPageBreak/>
        <w:t>References</w:t>
      </w:r>
    </w:p>
    <w:p w14:paraId="71399880" w14:textId="77777777" w:rsidR="00F80159" w:rsidRDefault="00F80159" w:rsidP="00952753">
      <w:proofErr w:type="gramStart"/>
      <w:r>
        <w:t>Aqua Security, 2025.</w:t>
      </w:r>
      <w:proofErr w:type="gramEnd"/>
      <w:r>
        <w:t xml:space="preserve"> </w:t>
      </w:r>
      <w:proofErr w:type="spellStart"/>
      <w:proofErr w:type="gramStart"/>
      <w:r>
        <w:rPr>
          <w:rStyle w:val="Emphasis"/>
        </w:rPr>
        <w:t>Trivy</w:t>
      </w:r>
      <w:proofErr w:type="spellEnd"/>
      <w:r>
        <w:rPr>
          <w:rStyle w:val="Emphasis"/>
        </w:rPr>
        <w:t xml:space="preserve"> — Scanner for Vulnerabilities, Misconfigurations, and SBOMs.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0" w:tgtFrame="_new" w:history="1">
        <w:r>
          <w:rPr>
            <w:rStyle w:val="Hyperlink"/>
          </w:rPr>
          <w:t>https://trivy.dev</w:t>
        </w:r>
      </w:hyperlink>
      <w:r>
        <w:t xml:space="preserve"> [Accessed 14 September 2025].</w:t>
      </w:r>
      <w:r>
        <w:br/>
      </w:r>
      <w:proofErr w:type="spellStart"/>
      <w:proofErr w:type="gramStart"/>
      <w:r>
        <w:t>Bridgecrew</w:t>
      </w:r>
      <w:proofErr w:type="spellEnd"/>
      <w:r>
        <w:t xml:space="preserve"> by </w:t>
      </w:r>
      <w:proofErr w:type="spellStart"/>
      <w:r>
        <w:t>Prisma</w:t>
      </w:r>
      <w:proofErr w:type="spellEnd"/>
      <w:r>
        <w:t xml:space="preserve"> Cloud, 2025.</w:t>
      </w:r>
      <w:proofErr w:type="gramEnd"/>
      <w:r>
        <w:t xml:space="preserve"> </w:t>
      </w:r>
      <w:proofErr w:type="spellStart"/>
      <w:proofErr w:type="gramStart"/>
      <w:r>
        <w:rPr>
          <w:rStyle w:val="Emphasis"/>
        </w:rPr>
        <w:t>Checkov</w:t>
      </w:r>
      <w:proofErr w:type="spellEnd"/>
      <w:r>
        <w:rPr>
          <w:rStyle w:val="Emphasis"/>
        </w:rPr>
        <w:t xml:space="preserve"> — Infrastructure as Code (</w:t>
      </w:r>
      <w:proofErr w:type="spellStart"/>
      <w:r>
        <w:rPr>
          <w:rStyle w:val="Emphasis"/>
        </w:rPr>
        <w:t>IaC</w:t>
      </w:r>
      <w:proofErr w:type="spellEnd"/>
      <w:r>
        <w:rPr>
          <w:rStyle w:val="Emphasis"/>
        </w:rPr>
        <w:t>) Static Analysis.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1" w:tgtFrame="_new" w:history="1">
        <w:r>
          <w:rPr>
            <w:rStyle w:val="Hyperlink"/>
          </w:rPr>
          <w:t>https://www.checkov.io</w:t>
        </w:r>
      </w:hyperlink>
      <w:r>
        <w:t xml:space="preserve"> [Accessed 14 September 2025].</w:t>
      </w:r>
      <w:r>
        <w:br/>
      </w:r>
      <w:proofErr w:type="gramStart"/>
      <w:r>
        <w:t>Internet Engineering Task Force (IETF), 2012.</w:t>
      </w:r>
      <w:proofErr w:type="gramEnd"/>
      <w:r>
        <w:t xml:space="preserve"> </w:t>
      </w:r>
      <w:proofErr w:type="gramStart"/>
      <w:r>
        <w:rPr>
          <w:rStyle w:val="Emphasis"/>
        </w:rPr>
        <w:t>HTTP Strict Transport Security (HSTS) (RFC 6797).</w:t>
      </w:r>
      <w:proofErr w:type="gramEnd"/>
      <w:r>
        <w:t xml:space="preserve"> RFC Editor: IETF.</w:t>
      </w:r>
      <w:r>
        <w:br/>
      </w:r>
      <w:proofErr w:type="gramStart"/>
      <w:r>
        <w:t>Internet Engineering Task Force (IETF), 2015.</w:t>
      </w:r>
      <w:proofErr w:type="gramEnd"/>
      <w:r>
        <w:t xml:space="preserve"> </w:t>
      </w:r>
      <w:proofErr w:type="gramStart"/>
      <w:r>
        <w:rPr>
          <w:rStyle w:val="Emphasis"/>
        </w:rPr>
        <w:t>HTTP Header Field X-Frame-Options (RFC 7034).</w:t>
      </w:r>
      <w:proofErr w:type="gramEnd"/>
      <w:r>
        <w:t xml:space="preserve"> RFC Editor: IETF.</w:t>
      </w:r>
      <w:r>
        <w:br/>
      </w:r>
      <w:proofErr w:type="gramStart"/>
      <w:r>
        <w:t>Internet Engineering Task Force (IETF), 2015.</w:t>
      </w:r>
      <w:proofErr w:type="gramEnd"/>
      <w:r>
        <w:t xml:space="preserve"> </w:t>
      </w:r>
      <w:proofErr w:type="gramStart"/>
      <w:r>
        <w:rPr>
          <w:rStyle w:val="Emphasis"/>
        </w:rPr>
        <w:t>JSON Web Token (JWT) (RFC 7519).</w:t>
      </w:r>
      <w:proofErr w:type="gramEnd"/>
      <w:r>
        <w:t xml:space="preserve"> RFC Editor: IETF.</w:t>
      </w:r>
      <w:r>
        <w:br/>
      </w:r>
      <w:proofErr w:type="gramStart"/>
      <w:r>
        <w:t>Internet Engineering Task Force (IETF), 2015.</w:t>
      </w:r>
      <w:proofErr w:type="gramEnd"/>
      <w:r>
        <w:t xml:space="preserve"> </w:t>
      </w:r>
      <w:proofErr w:type="gramStart"/>
      <w:r>
        <w:rPr>
          <w:rStyle w:val="Emphasis"/>
        </w:rPr>
        <w:t xml:space="preserve">Proof Key for Code Exchange by </w:t>
      </w:r>
      <w:proofErr w:type="spellStart"/>
      <w:r>
        <w:rPr>
          <w:rStyle w:val="Emphasis"/>
        </w:rPr>
        <w:t>OAuth</w:t>
      </w:r>
      <w:proofErr w:type="spellEnd"/>
      <w:r>
        <w:rPr>
          <w:rStyle w:val="Emphasis"/>
        </w:rPr>
        <w:t xml:space="preserve"> Public Clients (PKCE) (RFC 7636).</w:t>
      </w:r>
      <w:proofErr w:type="gramEnd"/>
      <w:r>
        <w:t xml:space="preserve"> RFC Editor: IETF.</w:t>
      </w:r>
      <w:r>
        <w:br/>
      </w:r>
      <w:proofErr w:type="gramStart"/>
      <w:r>
        <w:t>Internet Engineering Task Force (IETF), 2018.</w:t>
      </w:r>
      <w:proofErr w:type="gramEnd"/>
      <w:r>
        <w:t xml:space="preserve"> </w:t>
      </w:r>
      <w:proofErr w:type="gramStart"/>
      <w:r>
        <w:rPr>
          <w:rStyle w:val="Emphasis"/>
        </w:rPr>
        <w:t>The Transport Layer Security (TLS) Protocol Version 1.3 (RFC 8446).</w:t>
      </w:r>
      <w:proofErr w:type="gramEnd"/>
      <w:r>
        <w:t xml:space="preserve"> RFC Editor: IETF.</w:t>
      </w:r>
      <w:r>
        <w:br/>
      </w:r>
      <w:proofErr w:type="gramStart"/>
      <w:r>
        <w:t>Internet Engineering Task Force (IETF), 2021.</w:t>
      </w:r>
      <w:proofErr w:type="gramEnd"/>
      <w:r>
        <w:t xml:space="preserve"> </w:t>
      </w:r>
      <w:proofErr w:type="gramStart"/>
      <w:r>
        <w:rPr>
          <w:rStyle w:val="Emphasis"/>
        </w:rPr>
        <w:t>The Argon2 Memory-Hard Function for Password Hashing (RFC 9106).</w:t>
      </w:r>
      <w:proofErr w:type="gramEnd"/>
      <w:r>
        <w:t xml:space="preserve"> RFC Editor: IETF.</w:t>
      </w:r>
      <w:r>
        <w:br/>
      </w:r>
      <w:proofErr w:type="gramStart"/>
      <w:r>
        <w:t>ISO/IEC, 2022.</w:t>
      </w:r>
      <w:proofErr w:type="gramEnd"/>
      <w:r>
        <w:t xml:space="preserve"> </w:t>
      </w:r>
      <w:proofErr w:type="gramStart"/>
      <w:r>
        <w:rPr>
          <w:rStyle w:val="Emphasis"/>
        </w:rPr>
        <w:t>ISO/IEC 27001:2022 Information Security Management Systems — Requirements.</w:t>
      </w:r>
      <w:proofErr w:type="gramEnd"/>
      <w:r>
        <w:t xml:space="preserve"> Geneva: ISO.</w:t>
      </w:r>
      <w:r>
        <w:br/>
      </w:r>
      <w:proofErr w:type="gramStart"/>
      <w:r>
        <w:t>ISO/IEC, 2022.</w:t>
      </w:r>
      <w:proofErr w:type="gramEnd"/>
      <w:r>
        <w:t xml:space="preserve"> </w:t>
      </w:r>
      <w:r>
        <w:rPr>
          <w:rStyle w:val="Emphasis"/>
        </w:rPr>
        <w:t xml:space="preserve">ISO/IEC 27002:2022 Information Security, </w:t>
      </w:r>
      <w:proofErr w:type="spellStart"/>
      <w:r>
        <w:rPr>
          <w:rStyle w:val="Emphasis"/>
        </w:rPr>
        <w:t>Cybersecurity</w:t>
      </w:r>
      <w:proofErr w:type="spellEnd"/>
      <w:r>
        <w:rPr>
          <w:rStyle w:val="Emphasis"/>
        </w:rPr>
        <w:t xml:space="preserve"> and Privacy Protection — Information Security Controls.</w:t>
      </w:r>
      <w:r>
        <w:t xml:space="preserve"> Geneva: ISO.</w:t>
      </w:r>
      <w:r>
        <w:br/>
      </w:r>
      <w:proofErr w:type="gramStart"/>
      <w:r>
        <w:t>Mobile Security Framework (</w:t>
      </w:r>
      <w:proofErr w:type="spellStart"/>
      <w:r>
        <w:t>MobSF</w:t>
      </w:r>
      <w:proofErr w:type="spellEnd"/>
      <w:r>
        <w:t>), 2025.</w:t>
      </w:r>
      <w:proofErr w:type="gramEnd"/>
      <w:r>
        <w:t xml:space="preserve"> </w:t>
      </w:r>
      <w:proofErr w:type="spellStart"/>
      <w:proofErr w:type="gramStart"/>
      <w:r>
        <w:rPr>
          <w:rStyle w:val="Emphasis"/>
        </w:rPr>
        <w:t>MobSF</w:t>
      </w:r>
      <w:proofErr w:type="spellEnd"/>
      <w:r>
        <w:rPr>
          <w:rStyle w:val="Emphasis"/>
        </w:rPr>
        <w:t xml:space="preserve"> Documentation.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2" w:tgtFrame="_new" w:history="1">
        <w:r>
          <w:rPr>
            <w:rStyle w:val="Hyperlink"/>
          </w:rPr>
          <w:t>https://mobsf.github.io/docs/</w:t>
        </w:r>
      </w:hyperlink>
      <w:r>
        <w:t xml:space="preserve"> [Accessed 14 September 2025].</w:t>
      </w:r>
      <w:r>
        <w:br/>
        <w:t xml:space="preserve">Mozilla Developer Network (MDN), 2025. </w:t>
      </w:r>
      <w:proofErr w:type="gramStart"/>
      <w:r>
        <w:rPr>
          <w:rStyle w:val="Emphasis"/>
        </w:rPr>
        <w:t>Referrer-Policy — HTTP.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3" w:tgtFrame="_new" w:history="1">
        <w:r>
          <w:rPr>
            <w:rStyle w:val="Hyperlink"/>
          </w:rPr>
          <w:t>https://developer.mozilla.org/docs/Web/HTTP/Headers/Referrer-Policy</w:t>
        </w:r>
      </w:hyperlink>
      <w:r>
        <w:t xml:space="preserve"> [Accessed 14 September 2025].</w:t>
      </w:r>
      <w:r>
        <w:br/>
        <w:t xml:space="preserve">NCC Group, 2024. </w:t>
      </w:r>
      <w:proofErr w:type="spellStart"/>
      <w:proofErr w:type="gramStart"/>
      <w:r>
        <w:rPr>
          <w:rStyle w:val="Emphasis"/>
        </w:rPr>
        <w:t>ScoutSuite</w:t>
      </w:r>
      <w:proofErr w:type="spellEnd"/>
      <w:r>
        <w:rPr>
          <w:rStyle w:val="Emphasis"/>
        </w:rPr>
        <w:t xml:space="preserve"> — Cloud Security Auditing Tool.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4" w:tgtFrame="_new" w:history="1">
        <w:r>
          <w:rPr>
            <w:rStyle w:val="Hyperlink"/>
          </w:rPr>
          <w:t>https://github.com/nccgroup/ScoutSuite</w:t>
        </w:r>
      </w:hyperlink>
      <w:r>
        <w:t xml:space="preserve"> [Accessed 14 September 2025].</w:t>
      </w:r>
      <w:r>
        <w:br/>
      </w:r>
      <w:proofErr w:type="gramStart"/>
      <w:r>
        <w:t>National Institute of Standards and Technology (NIST), 2006.</w:t>
      </w:r>
      <w:proofErr w:type="gramEnd"/>
      <w:r>
        <w:t xml:space="preserve"> </w:t>
      </w:r>
      <w:r>
        <w:rPr>
          <w:rStyle w:val="Emphasis"/>
        </w:rPr>
        <w:t>Guide to Computer Security Log Management (SP 800-92).</w:t>
      </w:r>
      <w:r>
        <w:t xml:space="preserve"> Gaithersburg, MD: NIST.</w:t>
      </w:r>
      <w:r>
        <w:br/>
        <w:t xml:space="preserve">National Institute of Standards and Technology (NIST), 2017 (updated 2023). </w:t>
      </w:r>
      <w:r>
        <w:rPr>
          <w:rStyle w:val="Emphasis"/>
        </w:rPr>
        <w:t>Digital Identity Guidelines: Authentication and Lifecycle Management (SP 800-63B).</w:t>
      </w:r>
      <w:r>
        <w:t xml:space="preserve"> Gaithersburg, MD: NIST.</w:t>
      </w:r>
      <w:r>
        <w:br/>
      </w:r>
      <w:proofErr w:type="gramStart"/>
      <w:r>
        <w:t>National Institute of Standards and Technology (NIST), 2020.</w:t>
      </w:r>
      <w:proofErr w:type="gramEnd"/>
      <w:r>
        <w:t xml:space="preserve"> </w:t>
      </w:r>
      <w:r>
        <w:rPr>
          <w:rStyle w:val="Emphasis"/>
        </w:rPr>
        <w:t>Recommendation for Key Management — Part 1: General (SP 800-57 Part 1 Rev.5).</w:t>
      </w:r>
      <w:r>
        <w:t xml:space="preserve"> Gaithersburg, MD: NIST.</w:t>
      </w:r>
      <w:r>
        <w:br/>
      </w:r>
      <w:proofErr w:type="gramStart"/>
      <w:r>
        <w:t>National Institute of Standards and Technology (NIST), 2020.</w:t>
      </w:r>
      <w:proofErr w:type="gramEnd"/>
      <w:r>
        <w:t xml:space="preserve"> </w:t>
      </w:r>
      <w:proofErr w:type="gramStart"/>
      <w:r>
        <w:rPr>
          <w:rStyle w:val="Emphasis"/>
        </w:rPr>
        <w:t>Security and Privacy Controls for Information Systems and Organizations (SP 800-53 Rev.5).</w:t>
      </w:r>
      <w:proofErr w:type="gramEnd"/>
      <w:r>
        <w:t xml:space="preserve"> Gaithersburg, MD: NIST.</w:t>
      </w:r>
      <w:r>
        <w:br/>
      </w:r>
      <w:proofErr w:type="gramStart"/>
      <w:r>
        <w:t>National Institute of Standards and Technology (NIST), 2020.</w:t>
      </w:r>
      <w:proofErr w:type="gramEnd"/>
      <w:r>
        <w:t xml:space="preserve"> </w:t>
      </w:r>
      <w:proofErr w:type="gramStart"/>
      <w:r>
        <w:rPr>
          <w:rStyle w:val="Emphasis"/>
        </w:rPr>
        <w:t>Zero Trust Architecture (SP 800-207).</w:t>
      </w:r>
      <w:proofErr w:type="gramEnd"/>
      <w:r>
        <w:t xml:space="preserve"> Gaithersburg, MD: NIST.</w:t>
      </w:r>
      <w:r>
        <w:br/>
      </w:r>
      <w:proofErr w:type="spellStart"/>
      <w:r>
        <w:t>OpenID</w:t>
      </w:r>
      <w:proofErr w:type="spellEnd"/>
      <w:r>
        <w:t xml:space="preserve"> Foundation, 2014 (errata set 2021). </w:t>
      </w:r>
      <w:proofErr w:type="spellStart"/>
      <w:r>
        <w:rPr>
          <w:rStyle w:val="Emphasis"/>
        </w:rPr>
        <w:t>OpenID</w:t>
      </w:r>
      <w:proofErr w:type="spellEnd"/>
      <w:r>
        <w:rPr>
          <w:rStyle w:val="Emphasis"/>
        </w:rPr>
        <w:t xml:space="preserve"> Connect Core 1.0.</w:t>
      </w:r>
      <w:r>
        <w:t xml:space="preserve"> San Ramon, CA: </w:t>
      </w:r>
      <w:proofErr w:type="spellStart"/>
      <w:r>
        <w:t>OpenID</w:t>
      </w:r>
      <w:proofErr w:type="spellEnd"/>
      <w:r>
        <w:t xml:space="preserve"> Foundation.</w:t>
      </w:r>
      <w:r>
        <w:br/>
      </w:r>
      <w:proofErr w:type="gramStart"/>
      <w:r>
        <w:t>OWASP Foundation, 2021.</w:t>
      </w:r>
      <w:proofErr w:type="gramEnd"/>
      <w:r>
        <w:t xml:space="preserve"> </w:t>
      </w:r>
      <w:proofErr w:type="gramStart"/>
      <w:r>
        <w:rPr>
          <w:rStyle w:val="Emphasis"/>
        </w:rPr>
        <w:t>OWASP Application Security Verification Standard (ASVS) v4.0.3.</w:t>
      </w:r>
      <w:proofErr w:type="gramEnd"/>
      <w:r>
        <w:t xml:space="preserve"> London: OWASP.</w:t>
      </w:r>
      <w:r>
        <w:br/>
      </w:r>
      <w:proofErr w:type="gramStart"/>
      <w:r>
        <w:t>OWASP Foundation, 2021.</w:t>
      </w:r>
      <w:proofErr w:type="gramEnd"/>
      <w:r>
        <w:t xml:space="preserve"> </w:t>
      </w:r>
      <w:r>
        <w:rPr>
          <w:rStyle w:val="Emphasis"/>
        </w:rPr>
        <w:t>OWASP Top 10: The Ten Most Critical Web Application Security Risks.</w:t>
      </w:r>
      <w:r>
        <w:t xml:space="preserve"> London: OWASP.</w:t>
      </w:r>
      <w:r>
        <w:br/>
      </w:r>
      <w:proofErr w:type="gramStart"/>
      <w:r>
        <w:t>OWASP Foundation, 2024.</w:t>
      </w:r>
      <w:proofErr w:type="gramEnd"/>
      <w:r>
        <w:t xml:space="preserve"> </w:t>
      </w:r>
      <w:proofErr w:type="gramStart"/>
      <w:r>
        <w:rPr>
          <w:rStyle w:val="Emphasis"/>
        </w:rPr>
        <w:t>OWASP Secure Headers Project.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5" w:tgtFrame="_new" w:history="1">
        <w:r>
          <w:rPr>
            <w:rStyle w:val="Hyperlink"/>
          </w:rPr>
          <w:t>https://owasp.org/www-project-secure-headers/</w:t>
        </w:r>
      </w:hyperlink>
      <w:r>
        <w:t xml:space="preserve"> [Accessed 14 September 2025].</w:t>
      </w:r>
      <w:r>
        <w:br/>
      </w:r>
      <w:proofErr w:type="gramStart"/>
      <w:r>
        <w:t>OWASP Foundation, 2025.</w:t>
      </w:r>
      <w:proofErr w:type="gramEnd"/>
      <w:r>
        <w:t xml:space="preserve"> </w:t>
      </w:r>
      <w:proofErr w:type="gramStart"/>
      <w:r>
        <w:rPr>
          <w:rStyle w:val="Emphasis"/>
        </w:rPr>
        <w:t>OWASP Zed Attack Proxy (ZAP) Project.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6" w:tgtFrame="_new" w:history="1">
        <w:r>
          <w:rPr>
            <w:rStyle w:val="Hyperlink"/>
          </w:rPr>
          <w:t>https://www.zaproxy.org</w:t>
        </w:r>
      </w:hyperlink>
      <w:r>
        <w:t xml:space="preserve"> [Accessed 14 September 2025].</w:t>
      </w:r>
      <w:r>
        <w:br/>
      </w:r>
      <w:proofErr w:type="gramStart"/>
      <w:r>
        <w:t>Republic of South Africa, 2013.</w:t>
      </w:r>
      <w:proofErr w:type="gramEnd"/>
      <w:r>
        <w:t xml:space="preserve"> </w:t>
      </w:r>
      <w:proofErr w:type="gramStart"/>
      <w:r>
        <w:rPr>
          <w:rStyle w:val="Emphasis"/>
        </w:rPr>
        <w:t>Protection of Personal Information Act 4 of 2013 (POPIA).</w:t>
      </w:r>
      <w:proofErr w:type="gramEnd"/>
      <w:r>
        <w:t xml:space="preserve"> Pretoria: </w:t>
      </w:r>
      <w:r>
        <w:lastRenderedPageBreak/>
        <w:t>Government Gazette.</w:t>
      </w:r>
      <w:r>
        <w:br/>
      </w:r>
      <w:proofErr w:type="spellStart"/>
      <w:proofErr w:type="gramStart"/>
      <w:r>
        <w:t>SonarSource</w:t>
      </w:r>
      <w:proofErr w:type="spellEnd"/>
      <w:r>
        <w:t>, 2025.</w:t>
      </w:r>
      <w:proofErr w:type="gramEnd"/>
      <w:r>
        <w:t xml:space="preserve"> </w:t>
      </w:r>
      <w:proofErr w:type="spellStart"/>
      <w:proofErr w:type="gramStart"/>
      <w:r>
        <w:rPr>
          <w:rStyle w:val="Emphasis"/>
        </w:rPr>
        <w:t>SonarQube</w:t>
      </w:r>
      <w:proofErr w:type="spellEnd"/>
      <w:r>
        <w:rPr>
          <w:rStyle w:val="Emphasis"/>
        </w:rPr>
        <w:t xml:space="preserve"> Documentation.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7" w:tgtFrame="_new" w:history="1">
        <w:r>
          <w:rPr>
            <w:rStyle w:val="Hyperlink"/>
          </w:rPr>
          <w:t>https://docs.sonarsource.com/sonarqube</w:t>
        </w:r>
      </w:hyperlink>
      <w:r>
        <w:t xml:space="preserve"> [Accessed 14 September 2025].</w:t>
      </w:r>
      <w:r>
        <w:br/>
      </w:r>
      <w:proofErr w:type="gramStart"/>
      <w:r>
        <w:t>SWIFT, 2023.</w:t>
      </w:r>
      <w:proofErr w:type="gramEnd"/>
      <w:r>
        <w:t xml:space="preserve"> </w:t>
      </w:r>
      <w:proofErr w:type="gramStart"/>
      <w:r>
        <w:rPr>
          <w:rStyle w:val="Emphasis"/>
        </w:rPr>
        <w:t>Customer Security Controls Framework (CSCF).</w:t>
      </w:r>
      <w:proofErr w:type="gramEnd"/>
      <w:r>
        <w:t xml:space="preserve"> Brussels: SWIFT.</w:t>
      </w:r>
      <w:r>
        <w:br/>
      </w:r>
      <w:proofErr w:type="gramStart"/>
      <w:r>
        <w:t>SWIFT, 2025.</w:t>
      </w:r>
      <w:proofErr w:type="gramEnd"/>
      <w:r>
        <w:t xml:space="preserve"> </w:t>
      </w:r>
      <w:proofErr w:type="gramStart"/>
      <w:r>
        <w:rPr>
          <w:rStyle w:val="Emphasis"/>
        </w:rPr>
        <w:t>BIC Directory.</w:t>
      </w:r>
      <w:proofErr w:type="gramEnd"/>
      <w:r>
        <w:t xml:space="preserve"> [</w:t>
      </w:r>
      <w:proofErr w:type="gramStart"/>
      <w:r>
        <w:t>online</w:t>
      </w:r>
      <w:proofErr w:type="gramEnd"/>
      <w:r>
        <w:t xml:space="preserve">] Available at: </w:t>
      </w:r>
      <w:hyperlink r:id="rId18" w:tgtFrame="_new" w:history="1">
        <w:r>
          <w:rPr>
            <w:rStyle w:val="Hyperlink"/>
          </w:rPr>
          <w:t>https://www.swift.com/standards/data-standards/bic</w:t>
        </w:r>
      </w:hyperlink>
      <w:r>
        <w:t xml:space="preserve"> [Accessed 14 September 2025].</w:t>
      </w:r>
      <w:r>
        <w:br/>
      </w:r>
      <w:proofErr w:type="gramStart"/>
      <w:r>
        <w:t>World Wide Web Consortium (W3C), 2016.</w:t>
      </w:r>
      <w:proofErr w:type="gramEnd"/>
      <w:r>
        <w:t xml:space="preserve"> </w:t>
      </w:r>
      <w:proofErr w:type="spellStart"/>
      <w:proofErr w:type="gramStart"/>
      <w:r>
        <w:rPr>
          <w:rStyle w:val="Emphasis"/>
        </w:rPr>
        <w:t>Subresource</w:t>
      </w:r>
      <w:proofErr w:type="spellEnd"/>
      <w:r>
        <w:rPr>
          <w:rStyle w:val="Emphasis"/>
        </w:rPr>
        <w:t xml:space="preserve"> Integrity (SRI) Recommendation.</w:t>
      </w:r>
      <w:proofErr w:type="gramEnd"/>
      <w:r>
        <w:t xml:space="preserve"> Geneva: W3C.</w:t>
      </w:r>
      <w:r>
        <w:br/>
      </w:r>
      <w:proofErr w:type="gramStart"/>
      <w:r>
        <w:t>World Wide Web Consortium (W3C), 2021.</w:t>
      </w:r>
      <w:proofErr w:type="gramEnd"/>
      <w:r>
        <w:t xml:space="preserve"> </w:t>
      </w:r>
      <w:proofErr w:type="gramStart"/>
      <w:r>
        <w:rPr>
          <w:rStyle w:val="Emphasis"/>
        </w:rPr>
        <w:t>Content Security Policy Level 3.</w:t>
      </w:r>
      <w:proofErr w:type="gramEnd"/>
      <w:r>
        <w:t xml:space="preserve"> Geneva: W3C.</w:t>
      </w:r>
    </w:p>
    <w:p w14:paraId="77482543" w14:textId="1F1484DB" w:rsidR="00952753" w:rsidRDefault="00952753" w:rsidP="00952753">
      <w:r>
        <w:t>Annexure: Disclosure of AI Usage in my Assessment</w:t>
      </w:r>
    </w:p>
    <w:p w14:paraId="25CA745A" w14:textId="77777777" w:rsidR="00952753" w:rsidRDefault="00952753" w:rsidP="00952753">
      <w:r>
        <w:t>1. Section(s) within the assessment in which generative AI was used</w:t>
      </w:r>
    </w:p>
    <w:p w14:paraId="62DE61A8" w14:textId="01FBF4EE" w:rsidR="00952753" w:rsidRPr="00BE61EB" w:rsidRDefault="00952753" w:rsidP="00952753">
      <w:r w:rsidRPr="00BE61EB">
        <w:t xml:space="preserve">• Section(s) within the assessment in which generative AI was used, </w:t>
      </w:r>
      <w:r>
        <w:t xml:space="preserve">Poe Part 1 Application Development Security. </w:t>
      </w:r>
    </w:p>
    <w:p w14:paraId="08555662" w14:textId="77777777" w:rsidR="00952753" w:rsidRDefault="00952753" w:rsidP="00952753">
      <w:r>
        <w:t>2. Name of AI tool(s) used</w:t>
      </w:r>
    </w:p>
    <w:p w14:paraId="4CDF93BD" w14:textId="77777777" w:rsidR="00952753" w:rsidRDefault="00952753" w:rsidP="00952753">
      <w:r>
        <w:t xml:space="preserve">• </w:t>
      </w:r>
      <w:proofErr w:type="spellStart"/>
      <w:r>
        <w:t>QuillBot</w:t>
      </w:r>
      <w:proofErr w:type="spellEnd"/>
      <w:r>
        <w:t xml:space="preserve"> Paraphrasing Tool</w:t>
      </w:r>
    </w:p>
    <w:p w14:paraId="3833A4F5" w14:textId="77777777" w:rsidR="00952753" w:rsidRDefault="00952753" w:rsidP="00952753">
      <w:r>
        <w:t>3. Purpose/intention behind use</w:t>
      </w:r>
    </w:p>
    <w:p w14:paraId="304C290A" w14:textId="77777777" w:rsidR="00952753" w:rsidRDefault="00952753" w:rsidP="00952753">
      <w:r>
        <w:t>• Paraphrasing, correcting grammar and spelling.</w:t>
      </w:r>
    </w:p>
    <w:p w14:paraId="74CF3CE5" w14:textId="77777777" w:rsidR="00952753" w:rsidRDefault="00952753" w:rsidP="00952753">
      <w:r>
        <w:t>4. Date(s) in which generative AI was used</w:t>
      </w:r>
    </w:p>
    <w:p w14:paraId="4D601C58" w14:textId="66035F79" w:rsidR="00952753" w:rsidRDefault="00952753" w:rsidP="00952753">
      <w:pPr>
        <w:tabs>
          <w:tab w:val="center" w:pos="4513"/>
        </w:tabs>
      </w:pPr>
      <w:r>
        <w:t>• From 1 September 2025 – 12 September 2025.</w:t>
      </w:r>
      <w:r>
        <w:tab/>
      </w:r>
    </w:p>
    <w:p w14:paraId="7B2C3F3F" w14:textId="77777777" w:rsidR="00952753" w:rsidRDefault="00952753" w:rsidP="00952753">
      <w:r>
        <w:t xml:space="preserve">5. Link </w:t>
      </w:r>
      <w:proofErr w:type="spellStart"/>
      <w:r>
        <w:t>QuilBot</w:t>
      </w:r>
      <w:proofErr w:type="spellEnd"/>
      <w:r>
        <w:t xml:space="preserve"> paraphrasing tool</w:t>
      </w:r>
    </w:p>
    <w:p w14:paraId="6B834793" w14:textId="77777777" w:rsidR="00952753" w:rsidRPr="00034BC1" w:rsidRDefault="00952753" w:rsidP="00952753">
      <w:r>
        <w:t xml:space="preserve">• </w:t>
      </w:r>
      <w:hyperlink r:id="rId19" w:history="1">
        <w:r w:rsidRPr="00CF6EB5">
          <w:rPr>
            <w:rStyle w:val="Hyperlink"/>
          </w:rPr>
          <w:t>https://quillbot.com/paraphrasing-tool</w:t>
        </w:r>
      </w:hyperlink>
      <w:r>
        <w:t xml:space="preserve"> </w:t>
      </w:r>
    </w:p>
    <w:p w14:paraId="14FCCA2B" w14:textId="1A3C5A77" w:rsidR="00952753" w:rsidRPr="0000175A" w:rsidRDefault="00952753" w:rsidP="0000175A">
      <w:pPr>
        <w:pStyle w:val="NormalWeb"/>
        <w:rPr>
          <w:rFonts w:asciiTheme="minorHAnsi" w:hAnsiTheme="minorHAnsi" w:cstheme="minorHAnsi"/>
        </w:rPr>
      </w:pPr>
    </w:p>
    <w:p w14:paraId="54BF599E" w14:textId="77777777" w:rsidR="0000175A" w:rsidRPr="0000175A" w:rsidRDefault="0000175A" w:rsidP="0000175A">
      <w:pPr>
        <w:pStyle w:val="NormalWeb"/>
        <w:rPr>
          <w:rFonts w:asciiTheme="minorHAnsi" w:hAnsiTheme="minorHAnsi" w:cstheme="minorHAnsi"/>
        </w:rPr>
      </w:pPr>
    </w:p>
    <w:p w14:paraId="592760A7" w14:textId="77777777" w:rsidR="0000175A" w:rsidRPr="0000175A" w:rsidRDefault="0000175A" w:rsidP="0000175A">
      <w:pPr>
        <w:pStyle w:val="NormalWeb"/>
        <w:rPr>
          <w:rFonts w:asciiTheme="minorHAnsi" w:hAnsiTheme="minorHAnsi" w:cstheme="minorHAnsi"/>
        </w:rPr>
      </w:pPr>
    </w:p>
    <w:p w14:paraId="3FB57DD2" w14:textId="77777777" w:rsidR="0000175A" w:rsidRDefault="0000175A" w:rsidP="00911D91">
      <w:pPr>
        <w:rPr>
          <w:b/>
          <w:bCs/>
          <w:sz w:val="24"/>
          <w:szCs w:val="24"/>
          <w:u w:val="single"/>
        </w:rPr>
      </w:pPr>
    </w:p>
    <w:p w14:paraId="58F56D82" w14:textId="77777777" w:rsidR="00DF2085" w:rsidRPr="00911D91" w:rsidRDefault="00DF2085" w:rsidP="00911D91">
      <w:pPr>
        <w:rPr>
          <w:b/>
          <w:bCs/>
          <w:sz w:val="24"/>
          <w:szCs w:val="24"/>
          <w:u w:val="single"/>
        </w:rPr>
      </w:pPr>
    </w:p>
    <w:sectPr w:rsidR="00DF2085" w:rsidRPr="00911D91" w:rsidSect="00AC3E42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30B"/>
    <w:multiLevelType w:val="multilevel"/>
    <w:tmpl w:val="5EC6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01E"/>
    <w:multiLevelType w:val="multilevel"/>
    <w:tmpl w:val="DFD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F3F17"/>
    <w:multiLevelType w:val="multilevel"/>
    <w:tmpl w:val="2AECE31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45A35"/>
    <w:multiLevelType w:val="multilevel"/>
    <w:tmpl w:val="FE20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4048C"/>
    <w:multiLevelType w:val="multilevel"/>
    <w:tmpl w:val="3304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7063F"/>
    <w:multiLevelType w:val="multilevel"/>
    <w:tmpl w:val="BE66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26D4C"/>
    <w:multiLevelType w:val="multilevel"/>
    <w:tmpl w:val="AAF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42"/>
    <w:rsid w:val="0000175A"/>
    <w:rsid w:val="00056CB1"/>
    <w:rsid w:val="000630FE"/>
    <w:rsid w:val="00616C1B"/>
    <w:rsid w:val="00775EF2"/>
    <w:rsid w:val="008701A3"/>
    <w:rsid w:val="00911D91"/>
    <w:rsid w:val="00952753"/>
    <w:rsid w:val="00A04355"/>
    <w:rsid w:val="00A2538F"/>
    <w:rsid w:val="00AC3E42"/>
    <w:rsid w:val="00B76208"/>
    <w:rsid w:val="00BC207A"/>
    <w:rsid w:val="00CF6D71"/>
    <w:rsid w:val="00DE7656"/>
    <w:rsid w:val="00DF2085"/>
    <w:rsid w:val="00F80159"/>
    <w:rsid w:val="00F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0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85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F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F20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0175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7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85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DF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F20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0175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27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docs/Web/HTTP/Headers/Referrer-Policy" TargetMode="External"/><Relationship Id="rId18" Type="http://schemas.openxmlformats.org/officeDocument/2006/relationships/hyperlink" Target="https://www.swift.com/standards/data-standards/bic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obsf.github.io/docs/" TargetMode="External"/><Relationship Id="rId17" Type="http://schemas.openxmlformats.org/officeDocument/2006/relationships/hyperlink" Target="https://docs.sonarsource.com/sonarqu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aproxy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checkov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wasp.org/www-project-secure-headers/" TargetMode="External"/><Relationship Id="rId10" Type="http://schemas.openxmlformats.org/officeDocument/2006/relationships/hyperlink" Target="https://trivy.dev" TargetMode="External"/><Relationship Id="rId19" Type="http://schemas.openxmlformats.org/officeDocument/2006/relationships/hyperlink" Target="https://quillbot.com/paraphrasing-t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nccgroup/ScoutSu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8675</TotalTime>
  <Pages>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Phineas Kalambay</dc:creator>
  <cp:keywords/>
  <dc:description/>
  <cp:lastModifiedBy>Okuhle</cp:lastModifiedBy>
  <cp:revision>4</cp:revision>
  <dcterms:created xsi:type="dcterms:W3CDTF">2025-09-09T09:21:00Z</dcterms:created>
  <dcterms:modified xsi:type="dcterms:W3CDTF">2025-09-15T12:48:00Z</dcterms:modified>
</cp:coreProperties>
</file>